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word/theme/theme1.xml" ContentType="application/vnd.openxmlformats-officedocument.theme+xml"/>
</Types>
</file>

<file path=_rels/.rels>&#65279;<?xml version="1.0" encoding="utf-8"?><Relationships xmlns="http://schemas.openxmlformats.org/package/2006/relationships"><Relationship Id="R1" Type="http://schemas.openxmlformats.org/officeDocument/2006/relationships/officeDocument" Target="/word/document.xml" /><Relationship Id="coreR1" Type="http://schemas.openxmlformats.org/package/2006/relationships/metadata/core-properties" Target="/docProps/core.xml" /><Relationship Id="appR1" Type="http://schemas.openxmlformats.org/officeDocument/2006/relationships/extended-properties" Target="/docProps/app.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xmlns:wpg="http://schemas.microsoft.com/office/word/2010/wordprocessingGroup" xmlns:wpc="http://schemas.microsoft.com/office/word/2010/wordprocessingCanvas" xmlns:w14="http://schemas.microsoft.com/office/word/2010/wordml" xmlns:w15="http://schemas.microsoft.com/office/word/2012/wordml" xmlns:cx1="http://schemas.microsoft.com/office/drawing/2015/9/8/chartex" xmlns:cx2="http://schemas.microsoft.com/office/drawing/2015/10/21/chartex" mc:Ignorable="wp14 w14 w15">
  <w:body>
    <w:tbl>
      <w:tblPr>
        <w:tblW w:w="0" w:type="auto"/>
        <w:tblInd w:w="0" w:type="dxa"/>
        <w:tblBorders>
          <w:top w:val="none" w:sz="6" w:space="0" w:shadow="0" w:frame="0" w:color="000000"/>
          <w:left w:val="none" w:sz="6" w:space="0" w:shadow="0" w:frame="0" w:color="000000"/>
          <w:bottom w:val="none" w:sz="6" w:space="0" w:shadow="0" w:frame="0" w:color="000000"/>
          <w:right w:val="none" w:sz="6" w:space="0" w:shadow="0" w:frame="0" w:color="000000"/>
          <w:insideH w:val="none" w:sz="6" w:space="0" w:shadow="0" w:frame="0" w:color="000000"/>
          <w:insideV w:val="none" w:sz="6" w:space="0" w:shadow="0" w:frame="0" w:color="000000"/>
        </w:tblBorders>
        <w:tblLayout w:type="autofit"/>
        <w:tblCellMar>
          <w:top w:w="0" w:type="dxa"/>
          <w:left w:w="0" w:type="dxa"/>
          <w:bottom w:w="0" w:type="dxa"/>
          <w:right w:w="0" w:type="dxa"/>
        </w:tblCellMar>
      </w:tblPr>
      <w:tblGrid/>
      <w:tr>
        <w:tc>
          <w:tcPr>
            <w:tcW w:w="10772" w:type="dxa"/>
            <w:tcBorders>
              <w:top w:val="nil"/>
              <w:left w:val="nil"/>
              <w:bottom w:val="nil"/>
              <w:right w:val="nil"/>
            </w:tcBorders>
            <w:tcMar>
              <w:top w:w="0" w:type="dxa"/>
              <w:left w:w="108" w:type="dxa"/>
              <w:bottom w:w="0" w:type="dxa"/>
              <w:right w:w="108" w:type="dxa"/>
            </w:tcMar>
            <w:vAlign w:val="top"/>
            <w:hideMark/>
          </w:tcPr>
          <w:p>
            <w:pPr>
              <w:spacing w:before="0" w:after="0" w:beforeAutospacing="0" w:afterAutospacing="0"/>
              <w:ind w:left="0" w:right="0"/>
              <w:jc w:val="right"/>
              <w:rPr>
                <w:rFonts w:ascii="Times New Roman" w:hAnsi="Times New Roman" w:cs="Times New Roman" w:eastAsia="Times New Roman"/>
                <w:sz w:val="24"/>
              </w:rPr>
            </w:pPr>
            <w:r>
              <w:rPr>
                <w:rFonts w:ascii="Times New Roman" w:hAnsi="Times New Roman" w:cs="Times New Roman" w:eastAsia="Times New Roman"/>
                <w:sz w:val="20"/>
                <w:szCs w:val="20"/>
              </w:rPr>
              <w:t xml:space="preserve">Утв. приказом Минфина РФ </w:t>
              <w:br w:type="textWrapping"/>
              <w:t xml:space="preserve">от 28 декабря 2010 г. № 191н </w:t>
              <w:br w:type="textWrapping"/>
            </w:r>
            <w:r>
              <w:rPr>
                <w:rFonts w:ascii="Times New Roman" w:hAnsi="Times New Roman" w:cs="Times New Roman" w:eastAsia="Times New Roman"/>
                <w:i w:val="1"/>
                <w:sz w:val="20"/>
                <w:szCs w:val="20"/>
              </w:rPr>
              <w:t>(в ред. от 16 ноября 2016 г.)</w:t>
            </w:r>
          </w:p>
        </w:tc>
      </w:tr>
    </w:tbl>
    <w:p>
      <w:pPr>
        <w:spacing w:before="0" w:after="0" w:beforeAutospacing="0" w:afterAutospacing="0"/>
        <w:ind w:firstLine="0" w:left="0" w:right="0"/>
        <w:outlineLvl w:val="9"/>
        <w:rPr>
          <w:rFonts w:ascii="Times New Roman" w:hAnsi="Times New Roman" w:cs="Times New Roman" w:eastAsia="Times New Roman"/>
          <w:sz w:val="24"/>
        </w:rPr>
      </w:pPr>
      <w:r>
        <w:rPr>
          <w:rFonts w:ascii="Times New Roman" w:hAnsi="Times New Roman" w:cs="Times New Roman" w:eastAsia="Times New Roman"/>
          <w:vanish w:val="1"/>
          <w:sz w:val="24"/>
          <w:szCs w:val="24"/>
        </w:rPr>
        <w:t> </w:t>
      </w:r>
    </w:p>
    <w:tbl>
      <w:tblPr>
        <w:tblW w:w="9580" w:type="dxa"/>
        <w:tblInd w:w="93" w:type="dxa"/>
        <w:tblBorders>
          <w:top w:val="none" w:sz="0" w:space="0" w:shadow="0" w:frame="0" w:color="000000"/>
          <w:left w:val="none" w:sz="0" w:space="0" w:shadow="0" w:frame="0" w:color="000000"/>
          <w:bottom w:val="none" w:sz="0" w:space="0" w:shadow="0" w:frame="0" w:color="000000"/>
          <w:right w:val="none" w:sz="0" w:space="0" w:shadow="0" w:frame="0" w:color="000000"/>
          <w:insideH w:val="none" w:sz="0" w:space="0" w:shadow="0" w:frame="0" w:color="auto"/>
          <w:insideV w:val="none" w:sz="0" w:space="0" w:shadow="0" w:frame="0" w:color="auto"/>
        </w:tblBorders>
        <w:tblLayout w:type="autofit"/>
        <w:tblCellMar>
          <w:top w:w="0" w:type="dxa"/>
          <w:left w:w="0" w:type="dxa"/>
          <w:bottom w:w="0" w:type="dxa"/>
          <w:right w:w="0" w:type="dxa"/>
        </w:tblCellMar>
      </w:tblPr>
      <w:tblGrid/>
      <w:tr>
        <w:trPr>
          <w:trHeight w:hRule="atLeast" w:val="270"/>
        </w:trPr>
        <w:tc>
          <w:tcPr>
            <w:tcW w:w="5940" w:type="dxa"/>
            <w:noWrap/>
            <w:tcMar>
              <w:top w:w="0" w:type="dxa"/>
              <w:left w:w="108" w:type="dxa"/>
              <w:bottom w:w="0" w:type="dxa"/>
              <w:right w:w="108" w:type="dxa"/>
            </w:tcMar>
            <w:vAlign w:val="bottom"/>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b w:val="1"/>
                <w:sz w:val="20"/>
                <w:szCs w:val="20"/>
              </w:rPr>
              <w:t>ПОЯСНИТЕЛЬНАЯ ЗАПИСКА</w:t>
            </w:r>
          </w:p>
        </w:tc>
        <w:tc>
          <w:tcPr>
            <w:tcW w:w="195" w:type="dxa"/>
            <w:noWrap/>
            <w:tcMar>
              <w:top w:w="0" w:type="dxa"/>
              <w:left w:w="108" w:type="dxa"/>
              <w:bottom w:w="0" w:type="dxa"/>
              <w:right w:w="108" w:type="dxa"/>
            </w:tcMar>
            <w:vAlign w:val="bottom"/>
            <w:hideMark/>
          </w:tcPr>
          <w:p>
            <w:pPr>
              <w:ind w:left="0" w:right="0"/>
              <w:rPr>
                <w:sz w:val="24"/>
              </w:rPr>
            </w:pPr>
          </w:p>
        </w:tc>
        <w:tc>
          <w:tcPr>
            <w:tcW w:w="1500" w:type="dxa"/>
            <w:noWrap/>
            <w:tcMar>
              <w:top w:w="0" w:type="dxa"/>
              <w:left w:w="108" w:type="dxa"/>
              <w:bottom w:w="0" w:type="dxa"/>
              <w:right w:w="108" w:type="dxa"/>
            </w:tcMar>
            <w:vAlign w:val="bottom"/>
            <w:hideMark/>
          </w:tcPr>
          <w:p>
            <w:pPr>
              <w:ind w:left="0" w:right="0"/>
              <w:rPr>
                <w:sz w:val="24"/>
              </w:rPr>
            </w:pPr>
          </w:p>
        </w:tc>
        <w:tc>
          <w:tcPr>
            <w:tcW w:w="1680" w:type="dxa"/>
            <w:noWrap/>
            <w:tcMar>
              <w:top w:w="0" w:type="dxa"/>
              <w:left w:w="108" w:type="dxa"/>
              <w:bottom w:w="0" w:type="dxa"/>
              <w:right w:w="108" w:type="dxa"/>
            </w:tcMar>
            <w:vAlign w:val="bottom"/>
            <w:hideMark/>
          </w:tcPr>
          <w:p>
            <w:pPr>
              <w:ind w:left="0" w:right="0"/>
              <w:rPr>
                <w:sz w:val="24"/>
              </w:rPr>
            </w:pPr>
          </w:p>
        </w:tc>
      </w:tr>
      <w:tr>
        <w:trPr>
          <w:trHeight w:hRule="atLeast" w:val="255"/>
        </w:trPr>
        <w:tc>
          <w:tcPr>
            <w:tcW w:w="5940" w:type="dxa"/>
            <w:noWrap/>
            <w:tcMar>
              <w:top w:w="0" w:type="dxa"/>
              <w:left w:w="108" w:type="dxa"/>
              <w:bottom w:w="0" w:type="dxa"/>
              <w:right w:w="108" w:type="dxa"/>
            </w:tcMar>
            <w:vAlign w:val="bottom"/>
            <w:hideMark/>
          </w:tcPr>
          <w:p>
            <w:pPr>
              <w:ind w:left="0" w:right="0"/>
              <w:rPr>
                <w:sz w:val="24"/>
              </w:rPr>
            </w:pPr>
          </w:p>
        </w:tc>
        <w:tc>
          <w:tcPr>
            <w:tcW w:w="195" w:type="dxa"/>
            <w:noWrap/>
            <w:tcMar>
              <w:top w:w="0" w:type="dxa"/>
              <w:left w:w="108" w:type="dxa"/>
              <w:bottom w:w="0" w:type="dxa"/>
              <w:right w:w="108" w:type="dxa"/>
            </w:tcMar>
            <w:vAlign w:val="bottom"/>
            <w:hideMark/>
          </w:tcPr>
          <w:p>
            <w:pPr>
              <w:ind w:left="0" w:right="0"/>
              <w:rPr>
                <w:sz w:val="24"/>
              </w:rPr>
            </w:pPr>
          </w:p>
        </w:tc>
        <w:tc>
          <w:tcPr>
            <w:tcW w:w="1500" w:type="dxa"/>
            <w:noWrap/>
            <w:tcMar>
              <w:top w:w="0" w:type="dxa"/>
              <w:left w:w="108" w:type="dxa"/>
              <w:bottom w:w="0" w:type="dxa"/>
              <w:right w:w="108" w:type="dxa"/>
            </w:tcMar>
            <w:vAlign w:val="bottom"/>
            <w:hideMark/>
          </w:tcPr>
          <w:p>
            <w:pPr>
              <w:ind w:left="0" w:right="0"/>
              <w:rPr>
                <w:sz w:val="24"/>
              </w:rPr>
            </w:pPr>
          </w:p>
        </w:tc>
        <w:tc>
          <w:tcPr>
            <w:tcW w:w="1680" w:type="dxa"/>
            <w:tcBorders>
              <w:top w:val="single" w:sz="8" w:space="0" w:shadow="0" w:frame="0" w:color="000000"/>
              <w:left w:val="single" w:sz="8" w:space="0" w:shadow="0" w:frame="0" w:color="000000"/>
              <w:bottom w:val="single" w:sz="8" w:space="0" w:shadow="0" w:frame="0" w:color="000000"/>
              <w:right w:val="single" w:sz="8" w:space="0" w:shadow="0" w:frame="0" w:color="000000"/>
            </w:tcBorders>
            <w:noWrap/>
            <w:tcMar>
              <w:top w:w="0" w:type="dxa"/>
              <w:left w:w="108" w:type="dxa"/>
              <w:bottom w:w="0" w:type="dxa"/>
              <w:right w:w="108" w:type="dxa"/>
            </w:tcMar>
            <w:vAlign w:val="bottom"/>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18"/>
                <w:szCs w:val="18"/>
              </w:rPr>
              <w:t>КОДЫ</w:t>
            </w:r>
          </w:p>
        </w:tc>
      </w:tr>
      <w:tr>
        <w:trPr>
          <w:trHeight w:hRule="atLeast" w:val="282"/>
        </w:trPr>
        <w:tc>
          <w:tcPr>
            <w:tcW w:w="0" w:type="auto"/>
            <w:noWrap/>
            <w:tcMar>
              <w:top w:w="0" w:type="dxa"/>
              <w:left w:w="108" w:type="dxa"/>
              <w:bottom w:w="0" w:type="dxa"/>
              <w:right w:w="108" w:type="dxa"/>
            </w:tcMar>
            <w:vAlign w:val="bottom"/>
            <w:hideMark/>
          </w:tcPr>
          <w:p>
            <w:pPr>
              <w:ind w:left="0" w:right="0"/>
              <w:rPr>
                <w:sz w:val="24"/>
              </w:rPr>
            </w:pPr>
          </w:p>
        </w:tc>
        <w:tc>
          <w:tcPr>
            <w:tcW w:w="0" w:type="auto"/>
            <w:gridSpan w:val="2"/>
            <w:noWrap/>
            <w:tcMar>
              <w:top w:w="0" w:type="dxa"/>
              <w:left w:w="108" w:type="dxa"/>
              <w:bottom w:w="0" w:type="dxa"/>
              <w:right w:w="108" w:type="dxa"/>
            </w:tcMar>
            <w:vAlign w:val="bottom"/>
            <w:hideMark/>
          </w:tcPr>
          <w:p>
            <w:pPr>
              <w:spacing w:before="0" w:after="0" w:beforeAutospacing="0" w:afterAutospacing="0"/>
              <w:ind w:left="0" w:right="0"/>
              <w:jc w:val="right"/>
              <w:rPr>
                <w:rFonts w:ascii="Times New Roman" w:hAnsi="Times New Roman" w:cs="Times New Roman" w:eastAsia="Times New Roman"/>
                <w:sz w:val="24"/>
              </w:rPr>
            </w:pPr>
            <w:r>
              <w:rPr>
                <w:rFonts w:ascii="Times New Roman" w:hAnsi="Times New Roman" w:cs="Times New Roman" w:eastAsia="Times New Roman"/>
                <w:sz w:val="18"/>
                <w:szCs w:val="18"/>
              </w:rPr>
              <w:t>Форма по ОКУД</w:t>
            </w:r>
          </w:p>
        </w:tc>
        <w:tc>
          <w:tcPr>
            <w:tcW w:w="1680" w:type="dxa"/>
            <w:tcBorders>
              <w:top w:val="nil"/>
              <w:left w:val="single" w:sz="8" w:space="0" w:shadow="0" w:frame="0" w:color="000000"/>
              <w:bottom w:val="single" w:sz="8" w:space="0" w:shadow="0" w:frame="0" w:color="000000"/>
              <w:right w:val="single" w:sz="8" w:space="0" w:shadow="0" w:frame="0" w:color="000000"/>
            </w:tcBorders>
            <w:noWrap/>
            <w:tcMar>
              <w:top w:w="0" w:type="dxa"/>
              <w:left w:w="108" w:type="dxa"/>
              <w:bottom w:w="0" w:type="dxa"/>
              <w:right w:w="108" w:type="dxa"/>
            </w:tcMar>
            <w:vAlign w:val="bottom"/>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18"/>
                <w:szCs w:val="18"/>
              </w:rPr>
              <w:t>0503160</w:t>
            </w:r>
          </w:p>
        </w:tc>
      </w:tr>
      <w:tr>
        <w:trPr>
          <w:trHeight w:hRule="atLeast" w:val="282"/>
        </w:trPr>
        <w:tc>
          <w:tcPr>
            <w:tcW w:w="0" w:type="auto"/>
            <w:gridSpan w:val="2"/>
            <w:noWrap/>
            <w:tcMar>
              <w:top w:w="0" w:type="dxa"/>
              <w:left w:w="108" w:type="dxa"/>
              <w:bottom w:w="0" w:type="dxa"/>
              <w:right w:w="108" w:type="dxa"/>
            </w:tcMar>
            <w:vAlign w:val="bottom"/>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18"/>
                <w:szCs w:val="18"/>
              </w:rPr>
              <w:t>                          на   1 июля 2024 г.</w:t>
            </w:r>
          </w:p>
        </w:tc>
        <w:tc>
          <w:tcPr>
            <w:tcW w:w="1500" w:type="dxa"/>
            <w:noWrap/>
            <w:tcMar>
              <w:top w:w="0" w:type="dxa"/>
              <w:left w:w="108" w:type="dxa"/>
              <w:bottom w:w="0" w:type="dxa"/>
              <w:right w:w="108" w:type="dxa"/>
            </w:tcMar>
            <w:vAlign w:val="bottom"/>
            <w:hideMark/>
          </w:tcPr>
          <w:p>
            <w:pPr>
              <w:spacing w:before="0" w:after="0" w:beforeAutospacing="0" w:afterAutospacing="0"/>
              <w:ind w:left="0" w:right="0"/>
              <w:jc w:val="right"/>
              <w:rPr>
                <w:rFonts w:ascii="Times New Roman" w:hAnsi="Times New Roman" w:cs="Times New Roman" w:eastAsia="Times New Roman"/>
                <w:sz w:val="24"/>
              </w:rPr>
            </w:pPr>
            <w:r>
              <w:rPr>
                <w:rFonts w:ascii="Times New Roman" w:hAnsi="Times New Roman" w:cs="Times New Roman" w:eastAsia="Times New Roman"/>
                <w:sz w:val="18"/>
                <w:szCs w:val="18"/>
              </w:rPr>
              <w:t> Дата</w:t>
            </w:r>
          </w:p>
        </w:tc>
        <w:tc>
          <w:tcPr>
            <w:tcW w:w="1680" w:type="dxa"/>
            <w:tcBorders>
              <w:top w:val="nil"/>
              <w:left w:val="single" w:sz="8" w:space="0" w:shadow="0" w:frame="0" w:color="000000"/>
              <w:bottom w:val="single" w:sz="8" w:space="0" w:shadow="0" w:frame="0" w:color="000000"/>
              <w:right w:val="single" w:sz="8" w:space="0" w:shadow="0" w:frame="0" w:color="000000"/>
            </w:tcBorders>
            <w:noWrap/>
            <w:tcMar>
              <w:top w:w="0" w:type="dxa"/>
              <w:left w:w="108" w:type="dxa"/>
              <w:bottom w:w="0" w:type="dxa"/>
              <w:right w:w="108" w:type="dxa"/>
            </w:tcMar>
            <w:vAlign w:val="bottom"/>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18"/>
                <w:szCs w:val="18"/>
              </w:rPr>
              <w:t>01.07.2024</w:t>
            </w:r>
          </w:p>
        </w:tc>
      </w:tr>
      <w:tr>
        <w:trPr>
          <w:trHeight w:hRule="atLeast" w:val="300"/>
        </w:trPr>
        <w:tc>
          <w:tcPr>
            <w:tcW w:w="5940" w:type="dxa"/>
            <w:noWrap/>
            <w:tcMar>
              <w:top w:w="0" w:type="dxa"/>
              <w:left w:w="108" w:type="dxa"/>
              <w:bottom w:w="0" w:type="dxa"/>
              <w:right w:w="108" w:type="dxa"/>
            </w:tcMar>
            <w:vAlign w:val="bottom"/>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18"/>
                <w:szCs w:val="18"/>
              </w:rPr>
              <w:t>Главный распорядитель, распорядитель,</w:t>
            </w:r>
          </w:p>
        </w:tc>
        <w:tc>
          <w:tcPr>
            <w:tcW w:w="195" w:type="dxa"/>
            <w:noWrap/>
            <w:tcMar>
              <w:top w:w="0" w:type="dxa"/>
              <w:left w:w="108" w:type="dxa"/>
              <w:bottom w:w="0" w:type="dxa"/>
              <w:right w:w="108" w:type="dxa"/>
            </w:tcMar>
            <w:vAlign w:val="bottom"/>
            <w:hideMark/>
          </w:tcPr>
          <w:p>
            <w:pPr>
              <w:ind w:left="0" w:right="0"/>
              <w:rPr>
                <w:sz w:val="24"/>
              </w:rPr>
            </w:pPr>
          </w:p>
        </w:tc>
        <w:tc>
          <w:tcPr>
            <w:tcW w:w="1500" w:type="dxa"/>
            <w:noWrap/>
            <w:tcMar>
              <w:top w:w="0" w:type="dxa"/>
              <w:left w:w="108" w:type="dxa"/>
              <w:bottom w:w="0" w:type="dxa"/>
              <w:right w:w="108" w:type="dxa"/>
            </w:tcMar>
            <w:vAlign w:val="bottom"/>
            <w:hideMark/>
          </w:tcPr>
          <w:p>
            <w:pPr>
              <w:ind w:left="0" w:right="0"/>
              <w:rPr>
                <w:sz w:val="24"/>
              </w:rPr>
            </w:pPr>
          </w:p>
        </w:tc>
        <w:tc>
          <w:tcPr>
            <w:tcW w:w="1680" w:type="dxa"/>
            <w:tcBorders>
              <w:top w:val="nil"/>
              <w:left w:val="single" w:sz="8" w:space="0" w:shadow="0" w:frame="0" w:color="000000"/>
              <w:bottom w:val="nil"/>
              <w:right w:val="single" w:sz="8" w:space="0" w:shadow="0" w:frame="0" w:color="000000"/>
            </w:tcBorders>
            <w:noWrap/>
            <w:tcMar>
              <w:top w:w="0" w:type="dxa"/>
              <w:left w:w="108" w:type="dxa"/>
              <w:bottom w:w="0" w:type="dxa"/>
              <w:right w:w="108" w:type="dxa"/>
            </w:tcMar>
            <w:vAlign w:val="bottom"/>
            <w:hideMark/>
          </w:tcPr>
          <w:p>
            <w:pPr>
              <w:ind w:left="0" w:right="0"/>
              <w:rPr>
                <w:sz w:val="24"/>
              </w:rPr>
            </w:pPr>
          </w:p>
        </w:tc>
      </w:tr>
      <w:tr>
        <w:trPr>
          <w:trHeight w:hRule="atLeast" w:val="195"/>
        </w:trPr>
        <w:tc>
          <w:tcPr>
            <w:tcW w:w="5940" w:type="dxa"/>
            <w:noWrap/>
            <w:tcMar>
              <w:top w:w="0" w:type="dxa"/>
              <w:left w:w="108" w:type="dxa"/>
              <w:bottom w:w="0" w:type="dxa"/>
              <w:right w:w="108" w:type="dxa"/>
            </w:tcMar>
            <w:vAlign w:val="bottom"/>
            <w:hideMark/>
          </w:tcPr>
          <w:p>
            <w:pPr>
              <w:spacing w:lineRule="atLeast" w:line="195"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18"/>
                <w:szCs w:val="18"/>
              </w:rPr>
              <w:t>получатель бюджетных средств, главный администратор,   </w:t>
            </w:r>
          </w:p>
        </w:tc>
        <w:tc>
          <w:tcPr>
            <w:tcW w:w="195" w:type="dxa"/>
            <w:noWrap/>
            <w:tcMar>
              <w:top w:w="0" w:type="dxa"/>
              <w:left w:w="108" w:type="dxa"/>
              <w:bottom w:w="0" w:type="dxa"/>
              <w:right w:w="108" w:type="dxa"/>
            </w:tcMar>
            <w:vAlign w:val="bottom"/>
            <w:hideMark/>
          </w:tcPr>
          <w:p>
            <w:pPr>
              <w:ind w:left="0" w:right="0"/>
              <w:rPr>
                <w:sz w:val="20"/>
              </w:rPr>
            </w:pPr>
          </w:p>
        </w:tc>
        <w:tc>
          <w:tcPr>
            <w:tcW w:w="1500" w:type="dxa"/>
            <w:noWrap/>
            <w:tcMar>
              <w:top w:w="0" w:type="dxa"/>
              <w:left w:w="108" w:type="dxa"/>
              <w:bottom w:w="0" w:type="dxa"/>
              <w:right w:w="108" w:type="dxa"/>
            </w:tcMar>
            <w:vAlign w:val="bottom"/>
            <w:hideMark/>
          </w:tcPr>
          <w:p>
            <w:pPr>
              <w:ind w:left="0" w:right="0"/>
              <w:rPr>
                <w:sz w:val="20"/>
              </w:rPr>
            </w:pPr>
          </w:p>
        </w:tc>
        <w:tc>
          <w:tcPr>
            <w:tcW w:w="1680" w:type="dxa"/>
            <w:tcBorders>
              <w:top w:val="nil"/>
              <w:left w:val="single" w:sz="8" w:space="0" w:shadow="0" w:frame="0" w:color="000000"/>
              <w:bottom w:val="nil"/>
              <w:right w:val="single" w:sz="8" w:space="0" w:shadow="0" w:frame="0" w:color="000000"/>
            </w:tcBorders>
            <w:noWrap/>
            <w:tcMar>
              <w:top w:w="0" w:type="dxa"/>
              <w:left w:w="108" w:type="dxa"/>
              <w:bottom w:w="0" w:type="dxa"/>
              <w:right w:w="108" w:type="dxa"/>
            </w:tcMar>
            <w:vAlign w:val="bottom"/>
            <w:hideMark/>
          </w:tcPr>
          <w:p>
            <w:pPr>
              <w:ind w:left="0" w:right="0"/>
              <w:rPr>
                <w:sz w:val="20"/>
              </w:rPr>
            </w:pPr>
          </w:p>
        </w:tc>
      </w:tr>
      <w:tr>
        <w:trPr>
          <w:trHeight w:hRule="atLeast" w:val="195"/>
        </w:trPr>
        <w:tc>
          <w:tcPr>
            <w:tcW w:w="5940" w:type="dxa"/>
            <w:noWrap/>
            <w:tcMar>
              <w:top w:w="0" w:type="dxa"/>
              <w:left w:w="108" w:type="dxa"/>
              <w:bottom w:w="0" w:type="dxa"/>
              <w:right w:w="108" w:type="dxa"/>
            </w:tcMar>
            <w:vAlign w:val="bottom"/>
            <w:hideMark/>
          </w:tcPr>
          <w:p>
            <w:pPr>
              <w:spacing w:lineRule="atLeast" w:line="195"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18"/>
                <w:szCs w:val="18"/>
              </w:rPr>
              <w:t>администратор доходов бюджета,</w:t>
            </w:r>
          </w:p>
        </w:tc>
        <w:tc>
          <w:tcPr>
            <w:tcW w:w="195" w:type="dxa"/>
            <w:noWrap/>
            <w:tcMar>
              <w:top w:w="0" w:type="dxa"/>
              <w:left w:w="108" w:type="dxa"/>
              <w:bottom w:w="0" w:type="dxa"/>
              <w:right w:w="108" w:type="dxa"/>
            </w:tcMar>
            <w:vAlign w:val="bottom"/>
            <w:hideMark/>
          </w:tcPr>
          <w:p>
            <w:pPr>
              <w:ind w:left="0" w:right="0"/>
              <w:rPr>
                <w:sz w:val="20"/>
              </w:rPr>
            </w:pPr>
          </w:p>
        </w:tc>
        <w:tc>
          <w:tcPr>
            <w:tcW w:w="1500" w:type="dxa"/>
            <w:noWrap/>
            <w:tcMar>
              <w:top w:w="0" w:type="dxa"/>
              <w:left w:w="108" w:type="dxa"/>
              <w:bottom w:w="0" w:type="dxa"/>
              <w:right w:w="108" w:type="dxa"/>
            </w:tcMar>
            <w:vAlign w:val="bottom"/>
            <w:hideMark/>
          </w:tcPr>
          <w:p>
            <w:pPr>
              <w:spacing w:lineRule="atLeast" w:line="195" w:before="0" w:after="0" w:beforeAutospacing="0" w:afterAutospacing="0"/>
              <w:ind w:left="0" w:right="0"/>
              <w:jc w:val="right"/>
              <w:rPr>
                <w:rFonts w:ascii="Times New Roman" w:hAnsi="Times New Roman" w:cs="Times New Roman" w:eastAsia="Times New Roman"/>
                <w:sz w:val="24"/>
              </w:rPr>
            </w:pPr>
            <w:r>
              <w:rPr>
                <w:rFonts w:ascii="Times New Roman" w:hAnsi="Times New Roman" w:cs="Times New Roman" w:eastAsia="Times New Roman"/>
                <w:sz w:val="18"/>
                <w:szCs w:val="18"/>
              </w:rPr>
              <w:t>по ОКПО</w:t>
            </w:r>
          </w:p>
        </w:tc>
        <w:tc>
          <w:tcPr>
            <w:tcW w:w="1680" w:type="dxa"/>
            <w:tcBorders>
              <w:top w:val="nil"/>
              <w:left w:val="single" w:sz="8" w:space="0" w:shadow="0" w:frame="0" w:color="000000"/>
              <w:bottom w:val="nil"/>
              <w:right w:val="single" w:sz="8" w:space="0" w:shadow="0" w:frame="0" w:color="000000"/>
            </w:tcBorders>
            <w:noWrap/>
            <w:tcMar>
              <w:top w:w="0" w:type="dxa"/>
              <w:left w:w="108" w:type="dxa"/>
              <w:bottom w:w="0" w:type="dxa"/>
              <w:right w:w="108" w:type="dxa"/>
            </w:tcMar>
            <w:vAlign w:val="bottom"/>
            <w:hideMark/>
          </w:tcPr>
          <w:p>
            <w:pPr>
              <w:spacing w:lineRule="atLeast" w:line="195"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18"/>
                <w:szCs w:val="18"/>
              </w:rPr>
              <w:t>27751786</w:t>
            </w:r>
          </w:p>
        </w:tc>
      </w:tr>
      <w:tr>
        <w:trPr>
          <w:trHeight w:hRule="atLeast" w:val="195"/>
        </w:trPr>
        <w:tc>
          <w:tcPr>
            <w:tcW w:w="5940" w:type="dxa"/>
            <w:noWrap/>
            <w:tcMar>
              <w:top w:w="0" w:type="dxa"/>
              <w:left w:w="108" w:type="dxa"/>
              <w:bottom w:w="0" w:type="dxa"/>
              <w:right w:w="108" w:type="dxa"/>
            </w:tcMar>
            <w:vAlign w:val="bottom"/>
            <w:hideMark/>
          </w:tcPr>
          <w:p>
            <w:pPr>
              <w:spacing w:lineRule="atLeast" w:line="195"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18"/>
                <w:szCs w:val="18"/>
              </w:rPr>
              <w:t xml:space="preserve">главный администратор, администратор </w:t>
            </w:r>
          </w:p>
        </w:tc>
        <w:tc>
          <w:tcPr>
            <w:tcW w:w="195" w:type="dxa"/>
            <w:noWrap/>
            <w:tcMar>
              <w:top w:w="0" w:type="dxa"/>
              <w:left w:w="108" w:type="dxa"/>
              <w:bottom w:w="0" w:type="dxa"/>
              <w:right w:w="108" w:type="dxa"/>
            </w:tcMar>
            <w:vAlign w:val="bottom"/>
            <w:hideMark/>
          </w:tcPr>
          <w:p>
            <w:pPr>
              <w:ind w:left="0" w:right="0"/>
              <w:rPr>
                <w:sz w:val="20"/>
              </w:rPr>
            </w:pPr>
          </w:p>
        </w:tc>
        <w:tc>
          <w:tcPr>
            <w:tcW w:w="1500" w:type="dxa"/>
            <w:noWrap/>
            <w:tcMar>
              <w:top w:w="0" w:type="dxa"/>
              <w:left w:w="108" w:type="dxa"/>
              <w:bottom w:w="0" w:type="dxa"/>
              <w:right w:w="108" w:type="dxa"/>
            </w:tcMar>
            <w:vAlign w:val="bottom"/>
            <w:hideMark/>
          </w:tcPr>
          <w:p>
            <w:pPr>
              <w:ind w:left="0" w:right="0"/>
              <w:rPr>
                <w:sz w:val="20"/>
              </w:rPr>
            </w:pPr>
          </w:p>
        </w:tc>
        <w:tc>
          <w:tcPr>
            <w:tcW w:w="1680" w:type="dxa"/>
            <w:tcBorders>
              <w:top w:val="single" w:sz="8" w:space="0" w:shadow="0" w:frame="0" w:color="000000"/>
              <w:left w:val="single" w:sz="8" w:space="0" w:shadow="0" w:frame="0" w:color="000000"/>
              <w:bottom w:val="nil"/>
              <w:right w:val="single" w:sz="8" w:space="0" w:shadow="0" w:frame="0" w:color="000000"/>
            </w:tcBorders>
            <w:noWrap/>
            <w:tcMar>
              <w:top w:w="0" w:type="dxa"/>
              <w:left w:w="108" w:type="dxa"/>
              <w:bottom w:w="0" w:type="dxa"/>
              <w:right w:w="108" w:type="dxa"/>
            </w:tcMar>
            <w:vAlign w:val="bottom"/>
            <w:hideMark/>
          </w:tcPr>
          <w:p>
            <w:pPr>
              <w:ind w:left="0" w:right="0"/>
              <w:rPr>
                <w:sz w:val="20"/>
              </w:rPr>
            </w:pPr>
          </w:p>
        </w:tc>
      </w:tr>
      <w:tr>
        <w:trPr>
          <w:trHeight w:hRule="atLeast" w:val="195"/>
        </w:trPr>
        <w:tc>
          <w:tcPr>
            <w:tcW w:w="5940" w:type="dxa"/>
            <w:noWrap/>
            <w:tcMar>
              <w:top w:w="0" w:type="dxa"/>
              <w:left w:w="108" w:type="dxa"/>
              <w:bottom w:w="0" w:type="dxa"/>
              <w:right w:w="108" w:type="dxa"/>
            </w:tcMar>
            <w:vAlign w:val="bottom"/>
            <w:hideMark/>
          </w:tcPr>
          <w:p>
            <w:pPr>
              <w:spacing w:lineRule="atLeast" w:line="195"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18"/>
                <w:szCs w:val="18"/>
              </w:rPr>
              <w:t>администратор источников финансирования</w:t>
            </w:r>
          </w:p>
        </w:tc>
        <w:tc>
          <w:tcPr>
            <w:tcW w:w="195" w:type="dxa"/>
            <w:noWrap/>
            <w:tcMar>
              <w:top w:w="0" w:type="dxa"/>
              <w:left w:w="108" w:type="dxa"/>
              <w:bottom w:w="0" w:type="dxa"/>
              <w:right w:w="108" w:type="dxa"/>
            </w:tcMar>
            <w:vAlign w:val="bottom"/>
            <w:hideMark/>
          </w:tcPr>
          <w:p>
            <w:pPr>
              <w:ind w:left="0" w:right="0"/>
              <w:rPr>
                <w:sz w:val="20"/>
              </w:rPr>
            </w:pPr>
          </w:p>
        </w:tc>
        <w:tc>
          <w:tcPr>
            <w:tcW w:w="1500" w:type="dxa"/>
            <w:noWrap/>
            <w:tcMar>
              <w:top w:w="0" w:type="dxa"/>
              <w:left w:w="108" w:type="dxa"/>
              <w:bottom w:w="0" w:type="dxa"/>
              <w:right w:w="108" w:type="dxa"/>
            </w:tcMar>
            <w:vAlign w:val="bottom"/>
            <w:hideMark/>
          </w:tcPr>
          <w:p>
            <w:pPr>
              <w:ind w:left="0" w:right="0"/>
              <w:rPr>
                <w:sz w:val="20"/>
              </w:rPr>
            </w:pPr>
          </w:p>
        </w:tc>
        <w:tc>
          <w:tcPr>
            <w:tcW w:w="1680" w:type="dxa"/>
            <w:tcBorders>
              <w:top w:val="nil"/>
              <w:left w:val="single" w:sz="8" w:space="0" w:shadow="0" w:frame="0" w:color="000000"/>
              <w:bottom w:val="nil"/>
              <w:right w:val="single" w:sz="8" w:space="0" w:shadow="0" w:frame="0" w:color="000000"/>
            </w:tcBorders>
            <w:noWrap/>
            <w:tcMar>
              <w:top w:w="0" w:type="dxa"/>
              <w:left w:w="108" w:type="dxa"/>
              <w:bottom w:w="0" w:type="dxa"/>
              <w:right w:w="108" w:type="dxa"/>
            </w:tcMar>
            <w:vAlign w:val="bottom"/>
            <w:hideMark/>
          </w:tcPr>
          <w:p>
            <w:pPr>
              <w:ind w:left="0" w:right="0"/>
              <w:rPr>
                <w:sz w:val="20"/>
              </w:rPr>
            </w:pPr>
          </w:p>
        </w:tc>
      </w:tr>
      <w:tr>
        <w:tc>
          <w:tcPr>
            <w:tcW w:w="0" w:type="auto"/>
            <w:gridSpan w:val="2"/>
            <w:tcMar>
              <w:top w:w="0" w:type="dxa"/>
              <w:left w:w="108" w:type="dxa"/>
              <w:bottom w:w="0" w:type="dxa"/>
              <w:right w:w="108" w:type="dxa"/>
            </w:tcMar>
            <w:vAlign w:val="bottom"/>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18"/>
                <w:szCs w:val="18"/>
              </w:rPr>
              <w:t xml:space="preserve">дефицита бюджета </w:t>
            </w:r>
            <w:r>
              <w:rPr>
                <w:rFonts w:ascii="Times New Roman" w:hAnsi="Times New Roman" w:cs="Times New Roman" w:eastAsia="Times New Roman"/>
                <w:sz w:val="18"/>
                <w:szCs w:val="18"/>
                <w:u w:val="single"/>
              </w:rPr>
              <w:t>МИНИСТЕРСТВО ЖИЛИЩНО-КОММУНАЛЬНОГО ХОЗЯЙСТВА И ГРАЖДАНСКОЙ ЗАЩИТЫ НАСЕЛЕНИЯ ПЕНЗЕНСКОЙ ОБЛАСТИ</w:t>
            </w:r>
            <w:r>
              <w:rPr>
                <w:rFonts w:ascii="Times New Roman" w:hAnsi="Times New Roman" w:cs="Times New Roman" w:eastAsia="Times New Roman"/>
                <w:sz w:val="18"/>
                <w:szCs w:val="18"/>
              </w:rPr>
              <w:t>         </w:t>
            </w:r>
          </w:p>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24"/>
                <w:szCs w:val="24"/>
              </w:rPr>
              <w:t> </w:t>
            </w:r>
          </w:p>
        </w:tc>
        <w:tc>
          <w:tcPr>
            <w:tcW w:w="1500" w:type="dxa"/>
            <w:noWrap/>
            <w:tcMar>
              <w:top w:w="0" w:type="dxa"/>
              <w:left w:w="108" w:type="dxa"/>
              <w:bottom w:w="0" w:type="dxa"/>
              <w:right w:w="108" w:type="dxa"/>
            </w:tcMar>
            <w:vAlign w:val="bottom"/>
            <w:hideMark/>
          </w:tcPr>
          <w:p>
            <w:pPr>
              <w:spacing w:before="0" w:after="0" w:beforeAutospacing="0" w:afterAutospacing="0"/>
              <w:ind w:left="0" w:right="0"/>
              <w:jc w:val="right"/>
              <w:rPr>
                <w:rFonts w:ascii="Times New Roman" w:hAnsi="Times New Roman" w:cs="Times New Roman" w:eastAsia="Times New Roman"/>
                <w:sz w:val="24"/>
              </w:rPr>
            </w:pPr>
            <w:r>
              <w:rPr>
                <w:rFonts w:ascii="Times New Roman" w:hAnsi="Times New Roman" w:cs="Times New Roman" w:eastAsia="Times New Roman"/>
                <w:sz w:val="18"/>
                <w:szCs w:val="18"/>
              </w:rPr>
              <w:t>Глава по БК</w:t>
            </w:r>
          </w:p>
        </w:tc>
        <w:tc>
          <w:tcPr>
            <w:tcW w:w="1680" w:type="dxa"/>
            <w:tcBorders>
              <w:top w:val="nil"/>
              <w:left w:val="single" w:sz="8" w:space="0" w:shadow="0" w:frame="0" w:color="000000"/>
              <w:bottom w:val="single" w:sz="8" w:space="0" w:shadow="0" w:frame="0" w:color="000000"/>
              <w:right w:val="single" w:sz="8" w:space="0" w:shadow="0" w:frame="0" w:color="000000"/>
            </w:tcBorders>
            <w:noWrap/>
            <w:tcMar>
              <w:top w:w="0" w:type="dxa"/>
              <w:left w:w="108" w:type="dxa"/>
              <w:bottom w:w="0" w:type="dxa"/>
              <w:right w:w="108" w:type="dxa"/>
            </w:tcMar>
            <w:vAlign w:val="bottom"/>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18"/>
                <w:szCs w:val="18"/>
              </w:rPr>
              <w:t>840</w:t>
            </w:r>
          </w:p>
        </w:tc>
      </w:tr>
      <w:tr>
        <w:trPr>
          <w:trHeight w:hRule="atLeast" w:val="280"/>
        </w:trPr>
        <w:tc>
          <w:tcPr>
            <w:tcW w:w="5940" w:type="dxa"/>
            <w:noWrap/>
            <w:tcMar>
              <w:top w:w="0" w:type="dxa"/>
              <w:left w:w="108" w:type="dxa"/>
              <w:bottom w:w="0" w:type="dxa"/>
              <w:right w:w="108" w:type="dxa"/>
            </w:tcMar>
            <w:vAlign w:val="bottom"/>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18"/>
                <w:szCs w:val="18"/>
              </w:rPr>
              <w:t xml:space="preserve">Наименование бюджета </w:t>
            </w:r>
          </w:p>
        </w:tc>
        <w:tc>
          <w:tcPr>
            <w:tcW w:w="195" w:type="dxa"/>
            <w:noWrap/>
            <w:tcMar>
              <w:top w:w="0" w:type="dxa"/>
              <w:left w:w="108" w:type="dxa"/>
              <w:bottom w:w="0" w:type="dxa"/>
              <w:right w:w="108" w:type="dxa"/>
            </w:tcMar>
            <w:vAlign w:val="bottom"/>
            <w:hideMark/>
          </w:tcPr>
          <w:p>
            <w:pPr>
              <w:ind w:left="0" w:right="0"/>
              <w:rPr>
                <w:sz w:val="24"/>
              </w:rPr>
            </w:pPr>
          </w:p>
        </w:tc>
        <w:tc>
          <w:tcPr>
            <w:tcW w:w="1500" w:type="dxa"/>
            <w:noWrap/>
            <w:tcMar>
              <w:top w:w="0" w:type="dxa"/>
              <w:left w:w="108" w:type="dxa"/>
              <w:bottom w:w="0" w:type="dxa"/>
              <w:right w:w="108" w:type="dxa"/>
            </w:tcMar>
            <w:vAlign w:val="bottom"/>
            <w:hideMark/>
          </w:tcPr>
          <w:p>
            <w:pPr>
              <w:ind w:left="0" w:right="0"/>
              <w:rPr>
                <w:sz w:val="24"/>
              </w:rPr>
            </w:pPr>
          </w:p>
        </w:tc>
        <w:tc>
          <w:tcPr>
            <w:tcW w:w="1680" w:type="dxa"/>
            <w:tcBorders>
              <w:top w:val="nil"/>
              <w:left w:val="single" w:sz="8" w:space="0" w:shadow="0" w:frame="0" w:color="000000"/>
              <w:bottom w:val="nil"/>
              <w:right w:val="single" w:sz="8" w:space="0" w:shadow="0" w:frame="0" w:color="000000"/>
            </w:tcBorders>
            <w:noWrap/>
            <w:tcMar>
              <w:top w:w="0" w:type="dxa"/>
              <w:left w:w="108" w:type="dxa"/>
              <w:bottom w:w="0" w:type="dxa"/>
              <w:right w:w="108" w:type="dxa"/>
            </w:tcMar>
            <w:vAlign w:val="bottom"/>
            <w:hideMark/>
          </w:tcPr>
          <w:p>
            <w:pPr>
              <w:ind w:left="0" w:right="0"/>
              <w:rPr>
                <w:sz w:val="24"/>
              </w:rPr>
            </w:pPr>
          </w:p>
        </w:tc>
      </w:tr>
      <w:tr>
        <w:trPr>
          <w:trHeight w:hRule="atLeast" w:val="210"/>
        </w:trPr>
        <w:tc>
          <w:tcPr>
            <w:tcW w:w="0" w:type="auto"/>
            <w:gridSpan w:val="2"/>
            <w:noWrap/>
            <w:tcMar>
              <w:top w:w="0" w:type="dxa"/>
              <w:left w:w="108" w:type="dxa"/>
              <w:bottom w:w="0" w:type="dxa"/>
              <w:right w:w="108" w:type="dxa"/>
            </w:tcMar>
            <w:vAlign w:val="bottom"/>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18"/>
                <w:szCs w:val="18"/>
              </w:rPr>
              <w:t xml:space="preserve">(публично-правового образования) </w:t>
            </w:r>
            <w:r>
              <w:rPr>
                <w:rFonts w:ascii="Times New Roman" w:hAnsi="Times New Roman" w:cs="Times New Roman" w:eastAsia="Times New Roman"/>
                <w:sz w:val="18"/>
                <w:szCs w:val="18"/>
                <w:u w:val="single"/>
              </w:rPr>
              <w:t>Бюджет субъекта РФ</w:t>
            </w:r>
            <w:r>
              <w:rPr>
                <w:rFonts w:ascii="Times New Roman" w:hAnsi="Times New Roman" w:cs="Times New Roman" w:eastAsia="Times New Roman"/>
                <w:sz w:val="18"/>
                <w:szCs w:val="18"/>
              </w:rPr>
              <w:t xml:space="preserve"> </w:t>
            </w:r>
          </w:p>
          <w:p>
            <w:pPr>
              <w:spacing w:lineRule="atLeast" w:line="210"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18"/>
                <w:szCs w:val="18"/>
              </w:rPr>
              <w:t xml:space="preserve">   </w:t>
            </w:r>
          </w:p>
        </w:tc>
        <w:tc>
          <w:tcPr>
            <w:tcW w:w="1500" w:type="dxa"/>
            <w:noWrap/>
            <w:tcMar>
              <w:top w:w="0" w:type="dxa"/>
              <w:left w:w="108" w:type="dxa"/>
              <w:bottom w:w="0" w:type="dxa"/>
              <w:right w:w="108" w:type="dxa"/>
            </w:tcMar>
            <w:vAlign w:val="bottom"/>
            <w:hideMark/>
          </w:tcPr>
          <w:p>
            <w:pPr>
              <w:spacing w:lineRule="atLeast" w:line="210" w:before="0" w:after="0" w:beforeAutospacing="0" w:afterAutospacing="0"/>
              <w:ind w:left="0" w:right="0"/>
              <w:jc w:val="right"/>
              <w:rPr>
                <w:rFonts w:ascii="Times New Roman" w:hAnsi="Times New Roman" w:cs="Times New Roman" w:eastAsia="Times New Roman"/>
                <w:sz w:val="24"/>
              </w:rPr>
            </w:pPr>
            <w:r>
              <w:rPr>
                <w:rFonts w:ascii="Times New Roman" w:hAnsi="Times New Roman" w:cs="Times New Roman" w:eastAsia="Times New Roman"/>
                <w:sz w:val="18"/>
                <w:szCs w:val="18"/>
              </w:rPr>
              <w:t>по ОКТМО</w:t>
            </w:r>
          </w:p>
        </w:tc>
        <w:tc>
          <w:tcPr>
            <w:tcW w:w="1680" w:type="dxa"/>
            <w:tcBorders>
              <w:top w:val="nil"/>
              <w:left w:val="single" w:sz="8" w:space="0" w:shadow="0" w:frame="0" w:color="000000"/>
              <w:bottom w:val="nil"/>
              <w:right w:val="single" w:sz="8" w:space="0" w:shadow="0" w:frame="0" w:color="000000"/>
            </w:tcBorders>
            <w:noWrap/>
            <w:tcMar>
              <w:top w:w="0" w:type="dxa"/>
              <w:left w:w="108" w:type="dxa"/>
              <w:bottom w:w="0" w:type="dxa"/>
              <w:right w:w="108" w:type="dxa"/>
            </w:tcMar>
            <w:vAlign w:val="bottom"/>
            <w:hideMark/>
          </w:tcPr>
          <w:p>
            <w:pPr>
              <w:spacing w:lineRule="atLeast" w:line="210"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15"/>
                <w:szCs w:val="15"/>
              </w:rPr>
              <w:t>56000000</w:t>
            </w:r>
          </w:p>
        </w:tc>
      </w:tr>
      <w:tr>
        <w:trPr>
          <w:trHeight w:hRule="atLeast" w:val="315"/>
        </w:trPr>
        <w:tc>
          <w:tcPr>
            <w:tcW w:w="5940" w:type="dxa"/>
            <w:noWrap/>
            <w:tcMar>
              <w:top w:w="0" w:type="dxa"/>
              <w:left w:w="108" w:type="dxa"/>
              <w:bottom w:w="0" w:type="dxa"/>
              <w:right w:w="108" w:type="dxa"/>
            </w:tcMar>
            <w:vAlign w:val="bottom"/>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18"/>
                <w:szCs w:val="18"/>
              </w:rPr>
              <w:t>Периодичность:    месячная, квартальная, годовая</w:t>
            </w:r>
          </w:p>
        </w:tc>
        <w:tc>
          <w:tcPr>
            <w:tcW w:w="195" w:type="dxa"/>
            <w:noWrap/>
            <w:tcMar>
              <w:top w:w="0" w:type="dxa"/>
              <w:left w:w="108" w:type="dxa"/>
              <w:bottom w:w="0" w:type="dxa"/>
              <w:right w:w="108" w:type="dxa"/>
            </w:tcMar>
            <w:vAlign w:val="bottom"/>
            <w:hideMark/>
          </w:tcPr>
          <w:p>
            <w:pPr>
              <w:ind w:left="0" w:right="0"/>
              <w:rPr>
                <w:sz w:val="24"/>
              </w:rPr>
            </w:pPr>
          </w:p>
        </w:tc>
        <w:tc>
          <w:tcPr>
            <w:tcW w:w="1500" w:type="dxa"/>
            <w:noWrap/>
            <w:tcMar>
              <w:top w:w="0" w:type="dxa"/>
              <w:left w:w="108" w:type="dxa"/>
              <w:bottom w:w="0" w:type="dxa"/>
              <w:right w:w="108" w:type="dxa"/>
            </w:tcMar>
            <w:vAlign w:val="bottom"/>
            <w:hideMark/>
          </w:tcPr>
          <w:p>
            <w:pPr>
              <w:ind w:left="0" w:right="0"/>
              <w:rPr>
                <w:sz w:val="24"/>
              </w:rPr>
            </w:pPr>
          </w:p>
        </w:tc>
        <w:tc>
          <w:tcPr>
            <w:tcW w:w="1680" w:type="dxa"/>
            <w:tcBorders>
              <w:top w:val="single" w:sz="8" w:space="0" w:shadow="0" w:frame="0" w:color="000000"/>
              <w:left w:val="single" w:sz="8" w:space="0" w:shadow="0" w:frame="0" w:color="000000"/>
              <w:bottom w:val="nil"/>
              <w:right w:val="single" w:sz="8" w:space="0" w:shadow="0" w:frame="0" w:color="000000"/>
            </w:tcBorders>
            <w:noWrap/>
            <w:tcMar>
              <w:top w:w="0" w:type="dxa"/>
              <w:left w:w="108" w:type="dxa"/>
              <w:bottom w:w="0" w:type="dxa"/>
              <w:right w:w="108" w:type="dxa"/>
            </w:tcMar>
            <w:vAlign w:val="bottom"/>
            <w:hideMark/>
          </w:tcPr>
          <w:p>
            <w:pPr>
              <w:ind w:left="0" w:right="0"/>
              <w:rPr>
                <w:sz w:val="24"/>
              </w:rPr>
            </w:pPr>
          </w:p>
        </w:tc>
      </w:tr>
      <w:tr>
        <w:trPr>
          <w:trHeight w:hRule="atLeast" w:val="282"/>
        </w:trPr>
        <w:tc>
          <w:tcPr>
            <w:tcW w:w="0" w:type="auto"/>
            <w:noWrap/>
            <w:tcMar>
              <w:top w:w="0" w:type="dxa"/>
              <w:left w:w="108" w:type="dxa"/>
              <w:bottom w:w="0" w:type="dxa"/>
              <w:right w:w="108" w:type="dxa"/>
            </w:tcMar>
            <w:vAlign w:val="bottom"/>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18"/>
                <w:szCs w:val="18"/>
              </w:rPr>
              <w:t>Единица измерения: руб.</w:t>
            </w:r>
          </w:p>
        </w:tc>
        <w:tc>
          <w:tcPr>
            <w:tcW w:w="195" w:type="dxa"/>
            <w:noWrap/>
            <w:tcMar>
              <w:top w:w="0" w:type="dxa"/>
              <w:left w:w="108" w:type="dxa"/>
              <w:bottom w:w="0" w:type="dxa"/>
              <w:right w:w="108" w:type="dxa"/>
            </w:tcMar>
            <w:vAlign w:val="bottom"/>
            <w:hideMark/>
          </w:tcPr>
          <w:p>
            <w:pPr>
              <w:ind w:left="0" w:right="0"/>
              <w:rPr>
                <w:sz w:val="24"/>
              </w:rPr>
            </w:pPr>
          </w:p>
        </w:tc>
        <w:tc>
          <w:tcPr>
            <w:tcW w:w="1500" w:type="dxa"/>
            <w:noWrap/>
            <w:tcMar>
              <w:top w:w="0" w:type="dxa"/>
              <w:left w:w="108" w:type="dxa"/>
              <w:bottom w:w="0" w:type="dxa"/>
              <w:right w:w="108" w:type="dxa"/>
            </w:tcMar>
            <w:vAlign w:val="bottom"/>
            <w:hideMark/>
          </w:tcPr>
          <w:p>
            <w:pPr>
              <w:spacing w:before="240" w:after="240" w:beforeAutospacing="1" w:afterAutospacing="1"/>
              <w:ind w:left="0" w:right="0"/>
              <w:jc w:val="right"/>
              <w:rPr>
                <w:rFonts w:ascii="Times New Roman" w:hAnsi="Times New Roman" w:cs="Times New Roman" w:eastAsia="Times New Roman"/>
                <w:sz w:val="24"/>
              </w:rPr>
            </w:pPr>
            <w:r>
              <w:rPr>
                <w:rFonts w:ascii="Times New Roman" w:hAnsi="Times New Roman" w:cs="Times New Roman" w:eastAsia="Times New Roman"/>
                <w:sz w:val="18"/>
                <w:szCs w:val="18"/>
              </w:rPr>
              <w:t>    по ОКЕИ</w:t>
            </w:r>
          </w:p>
        </w:tc>
        <w:tc>
          <w:tcPr>
            <w:tcW w:w="1680" w:type="dxa"/>
            <w:tcBorders>
              <w:top w:val="single" w:sz="8" w:space="0" w:shadow="0" w:frame="0" w:color="000000"/>
              <w:left w:val="single" w:sz="8" w:space="0" w:shadow="0" w:frame="0" w:color="000000"/>
              <w:bottom w:val="single" w:sz="8" w:space="0" w:shadow="0" w:frame="0" w:color="000000"/>
              <w:right w:val="single" w:sz="8" w:space="0" w:shadow="0" w:frame="0" w:color="000000"/>
            </w:tcBorders>
            <w:noWrap/>
            <w:tcMar>
              <w:top w:w="0" w:type="dxa"/>
              <w:left w:w="108" w:type="dxa"/>
              <w:bottom w:w="0" w:type="dxa"/>
              <w:right w:w="108" w:type="dxa"/>
            </w:tcMar>
            <w:vAlign w:val="bottom"/>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18"/>
                <w:szCs w:val="18"/>
              </w:rPr>
              <w:t>383</w:t>
            </w:r>
          </w:p>
        </w:tc>
      </w:tr>
      <w:tr>
        <w:trPr>
          <w:trHeight w:hRule="atLeast" w:val="282"/>
        </w:trPr>
        <w:tc>
          <w:tcPr>
            <w:tcW w:w="0" w:type="auto"/>
            <w:noWrap/>
            <w:tcMar>
              <w:top w:w="0" w:type="dxa"/>
              <w:left w:w="108" w:type="dxa"/>
              <w:bottom w:w="0" w:type="dxa"/>
              <w:right w:w="108" w:type="dxa"/>
            </w:tcMar>
            <w:vAlign w:val="bottom"/>
            <w:hideMark/>
          </w:tcPr>
          <w:p>
            <w:pPr>
              <w:ind w:left="0" w:right="0"/>
              <w:rPr>
                <w:sz w:val="24"/>
              </w:rPr>
            </w:pPr>
          </w:p>
        </w:tc>
        <w:tc>
          <w:tcPr>
            <w:tcW w:w="195" w:type="dxa"/>
            <w:noWrap/>
            <w:tcMar>
              <w:top w:w="0" w:type="dxa"/>
              <w:left w:w="108" w:type="dxa"/>
              <w:bottom w:w="0" w:type="dxa"/>
              <w:right w:w="108" w:type="dxa"/>
            </w:tcMar>
            <w:vAlign w:val="bottom"/>
            <w:hideMark/>
          </w:tcPr>
          <w:p>
            <w:pPr>
              <w:ind w:left="0" w:right="0"/>
              <w:rPr>
                <w:sz w:val="24"/>
              </w:rPr>
            </w:pPr>
          </w:p>
        </w:tc>
        <w:tc>
          <w:tcPr>
            <w:tcW w:w="1500" w:type="dxa"/>
            <w:noWrap/>
            <w:tcMar>
              <w:top w:w="0" w:type="dxa"/>
              <w:left w:w="108" w:type="dxa"/>
              <w:bottom w:w="0" w:type="dxa"/>
              <w:right w:w="108" w:type="dxa"/>
            </w:tcMar>
            <w:vAlign w:val="bottom"/>
            <w:hideMark/>
          </w:tcPr>
          <w:p>
            <w:pPr>
              <w:ind w:left="0" w:right="0"/>
              <w:rPr>
                <w:sz w:val="24"/>
              </w:rPr>
            </w:pPr>
          </w:p>
        </w:tc>
        <w:tc>
          <w:tcPr>
            <w:tcW w:w="1680" w:type="dxa"/>
            <w:noWrap/>
            <w:tcMar>
              <w:top w:w="0" w:type="dxa"/>
              <w:left w:w="108" w:type="dxa"/>
              <w:bottom w:w="0" w:type="dxa"/>
              <w:right w:w="108" w:type="dxa"/>
            </w:tcMar>
            <w:vAlign w:val="bottom"/>
            <w:hideMark/>
          </w:tcPr>
          <w:p>
            <w:pPr>
              <w:ind w:left="0" w:right="0"/>
              <w:rPr>
                <w:sz w:val="24"/>
              </w:rPr>
            </w:pPr>
          </w:p>
        </w:tc>
      </w:tr>
      <w:tr>
        <w:trPr>
          <w:trHeight w:hRule="atLeast" w:val="282"/>
        </w:trPr>
        <w:tc>
          <w:tcPr>
            <w:tcW w:w="0" w:type="auto"/>
            <w:gridSpan w:val="4"/>
            <w:noWrap/>
            <w:tcMar>
              <w:top w:w="0" w:type="dxa"/>
              <w:left w:w="108" w:type="dxa"/>
              <w:bottom w:w="0" w:type="dxa"/>
              <w:right w:w="108" w:type="dxa"/>
            </w:tcMar>
            <w:vAlign w:val="bottom"/>
            <w:hideMark/>
          </w:tcPr>
          <w:p>
            <w:pPr>
              <w:ind w:left="0" w:right="0"/>
              <w:rPr>
                <w:sz w:val="24"/>
              </w:rPr>
            </w:pPr>
          </w:p>
        </w:tc>
      </w:tr>
    </w:tbl>
    <w:p>
      <w:pPr>
        <w:spacing w:before="0" w:after="0" w:beforeAutospacing="0" w:afterAutospacing="0"/>
        <w:ind w:firstLine="0" w:left="0" w:right="0"/>
        <w:jc w:val="center"/>
        <w:outlineLvl w:val="9"/>
      </w:pPr>
      <w:r>
        <w:rPr>
          <w:rFonts w:ascii="Times New Roman" w:hAnsi="Times New Roman" w:cs="Times New Roman" w:eastAsia="Times New Roman"/>
          <w:b w:val="1"/>
          <w:i w:val="0"/>
          <w:color w:val="000000"/>
          <w:sz w:val="28"/>
          <w:szCs w:val="28"/>
        </w:rPr>
        <w:t>1.Организационная структура</w:t>
      </w:r>
    </w:p>
    <w:p>
      <w:pPr>
        <w:spacing w:before="0" w:after="0" w:beforeAutospacing="0" w:afterAutospacing="0"/>
        <w:ind w:firstLine="0" w:left="0" w:right="0"/>
        <w:jc w:val="center"/>
        <w:outlineLvl w:val="9"/>
      </w:pPr>
      <w:r>
        <w:rPr>
          <w:rFonts w:ascii="Times New Roman" w:hAnsi="Times New Roman" w:cs="Times New Roman" w:eastAsia="Times New Roman"/>
          <w:b w:val="1"/>
          <w:i w:val="0"/>
          <w:color w:val="000000"/>
          <w:sz w:val="28"/>
          <w:szCs w:val="28"/>
        </w:rPr>
        <w:t> </w:t>
      </w:r>
    </w:p>
    <w:p>
      <w:pPr>
        <w:spacing w:before="0" w:after="0" w:beforeAutospacing="0" w:afterAutospacing="0"/>
        <w:ind w:firstLine="720" w:left="0" w:right="0"/>
        <w:jc w:val="both"/>
        <w:outlineLvl w:val="9"/>
      </w:pPr>
      <w:r>
        <w:rPr>
          <w:rFonts w:ascii="Times New Roman" w:hAnsi="Times New Roman" w:cs="Times New Roman" w:eastAsia="Times New Roman"/>
          <w:b w:val="0"/>
          <w:i w:val="0"/>
          <w:color w:val="000000"/>
          <w:sz w:val="28"/>
          <w:szCs w:val="28"/>
        </w:rPr>
        <w:t>Полное наименование: Министерство</w:t>
      </w:r>
      <w:r>
        <w:rPr>
          <w:rFonts w:ascii="Calibri" w:hAnsi="Calibri" w:cs="Calibri" w:eastAsia="Calibri"/>
          <w:b w:val="0"/>
          <w:i w:val="0"/>
          <w:color w:val="000000"/>
          <w:sz w:val="22"/>
          <w:szCs w:val="22"/>
        </w:rPr>
        <w:t xml:space="preserve"> </w:t>
      </w:r>
      <w:r>
        <w:rPr>
          <w:rFonts w:ascii="Times New Roman" w:hAnsi="Times New Roman" w:cs="Times New Roman" w:eastAsia="Times New Roman"/>
          <w:b w:val="0"/>
          <w:i w:val="0"/>
          <w:color w:val="000000"/>
          <w:sz w:val="28"/>
          <w:szCs w:val="28"/>
        </w:rPr>
        <w:t xml:space="preserve">жилищно-коммунального хозяйства и гражданской защиты населения Пензенской области. </w:t>
      </w:r>
    </w:p>
    <w:p>
      <w:pPr>
        <w:spacing w:before="0" w:after="0" w:beforeAutospacing="0" w:afterAutospacing="0"/>
        <w:ind w:firstLine="720" w:left="0" w:right="0"/>
        <w:jc w:val="both"/>
        <w:outlineLvl w:val="9"/>
      </w:pPr>
      <w:r>
        <w:rPr>
          <w:rFonts w:ascii="Times New Roman" w:hAnsi="Times New Roman" w:cs="Times New Roman" w:eastAsia="Times New Roman"/>
          <w:b w:val="0"/>
          <w:i w:val="0"/>
          <w:color w:val="000000"/>
          <w:sz w:val="28"/>
          <w:szCs w:val="28"/>
        </w:rPr>
        <w:t xml:space="preserve">Сокращенное наименование: Министерство ЖКХ и ГЗН Пензенской области. </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Юридический адрес:</w:t>
      </w:r>
      <w:r>
        <w:rPr>
          <w:rFonts w:ascii="Times New Roman" w:hAnsi="Times New Roman" w:cs="Times New Roman" w:eastAsia="Times New Roman"/>
          <w:b w:val="1"/>
          <w:i w:val="0"/>
          <w:color w:val="FF0000"/>
          <w:sz w:val="28"/>
          <w:szCs w:val="28"/>
        </w:rPr>
        <w:t xml:space="preserve"> </w:t>
      </w:r>
      <w:r>
        <w:rPr>
          <w:rFonts w:ascii="Times New Roman" w:hAnsi="Times New Roman" w:cs="Times New Roman" w:eastAsia="Times New Roman"/>
          <w:b w:val="0"/>
          <w:i w:val="0"/>
          <w:color w:val="000000"/>
          <w:sz w:val="28"/>
          <w:szCs w:val="28"/>
        </w:rPr>
        <w:t>440000, г. Пенза, ул. Московская, 110.</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xml:space="preserve">ИНН: 5836675975, ОГРН:1165835051447. </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xml:space="preserve">Организационно-правовая форма  – государственное казенное учреждение. </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xml:space="preserve">Код главы главного распорядителя бюджетных средств - 840. </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Код по реестру УБП – 562D0014.</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xml:space="preserve">Учредитель – Правительство Пензенской области: г. Пенза, ул. Московская, 75. ИНН: 5836010995, ОГРН 1025801356789. </w:t>
      </w:r>
    </w:p>
    <w:p>
      <w:pPr>
        <w:spacing w:before="0" w:after="0" w:beforeAutospacing="0" w:afterAutospacing="0"/>
        <w:ind w:firstLine="700" w:left="0" w:right="0"/>
        <w:jc w:val="both"/>
        <w:outlineLvl w:val="9"/>
      </w:pPr>
      <w:r>
        <w:rPr>
          <w:rFonts w:ascii="Times New Roman" w:hAnsi="Times New Roman" w:cs="Times New Roman" w:eastAsia="Times New Roman"/>
          <w:b w:val="0"/>
          <w:i w:val="0"/>
          <w:color w:val="000000"/>
          <w:sz w:val="28"/>
          <w:szCs w:val="28"/>
        </w:rPr>
        <w:t>Для осуществления финансово-хозяйственной деятельности для Министерства открыты счета:</w:t>
      </w:r>
    </w:p>
    <w:p>
      <w:pPr>
        <w:spacing w:before="0" w:after="0" w:beforeAutospacing="0" w:afterAutospacing="0"/>
        <w:ind w:firstLine="700" w:left="0" w:right="0"/>
        <w:jc w:val="both"/>
        <w:outlineLvl w:val="9"/>
      </w:pPr>
      <w:r>
        <w:rPr>
          <w:rFonts w:ascii="Times New Roman" w:hAnsi="Times New Roman" w:cs="Times New Roman" w:eastAsia="Times New Roman"/>
          <w:b w:val="0"/>
          <w:i w:val="0"/>
          <w:color w:val="000000"/>
          <w:sz w:val="28"/>
          <w:szCs w:val="28"/>
        </w:rPr>
        <w:t>в Управлении Федерального казначейства по Пензенской области:</w:t>
      </w:r>
    </w:p>
    <w:p>
      <w:pPr>
        <w:numPr>
          <w:ilvl w:val="0"/>
          <w:numId w:val="1"/>
        </w:numPr>
        <w:shd w:val="clear" w:fill="auto"/>
        <w:spacing w:before="0" w:after="0" w:beforeAutospacing="0" w:afterAutospacing="0"/>
        <w:ind w:hanging="360" w:left="720" w:right="0"/>
        <w:jc w:val="both"/>
        <w:outlineLvl w:val="9"/>
        <w:rPr>
          <w:rFonts w:ascii="Arial" w:hAnsi="Arial" w:cs="Arial" w:eastAsia="Arial"/>
          <w:b w:val="0"/>
          <w:i w:val="0"/>
          <w:color w:val="000000"/>
          <w:sz w:val="28"/>
        </w:rPr>
      </w:pPr>
      <w:r>
        <w:rPr>
          <w:rFonts w:ascii="Times New Roman" w:hAnsi="Times New Roman" w:cs="Times New Roman" w:eastAsia="Times New Roman"/>
          <w:b w:val="0"/>
          <w:i w:val="0"/>
          <w:color w:val="000000"/>
          <w:sz w:val="28"/>
          <w:szCs w:val="28"/>
        </w:rPr>
        <w:t>04552 D00140 - администратора доходов;</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xml:space="preserve"> - </w:t>
      </w:r>
      <w:r>
        <w:rPr>
          <w:rFonts w:ascii="Times New Roman" w:hAnsi="Times New Roman" w:cs="Times New Roman" w:eastAsia="Times New Roman"/>
          <w:b w:val="0"/>
          <w:i w:val="0"/>
          <w:color w:val="000000"/>
          <w:sz w:val="24"/>
          <w:szCs w:val="24"/>
        </w:rPr>
        <w:t>14552840020; 14552840030; 14552840031; 14552840032; 14552840033; 14552840034; 14552840035; 14552840036; 14552840037; 14552840038; 14552840039; 1455284003А; 1455284003Б; 1455284003В; 14552840040; 14552840041; 14552840042; 14552840043; 14552840044; 14552840045; 14552840046; 14552840047; 14552840048; 14552840049; 1455284004А; 1455284004Б; 1455284004В; 1455284004Г; 14552840050; 14552840051; 14552840052; 14552840053; 14552840054; 14552840055; 14552840056; 14552840057; 14552840058; 14552840059; 1455284005А; 1455284005Б; 14552840060; 14552840061; 14552840062; 14552840063; 14552840064; 14552840065; 14552840070; 14552840080; 14552840081; 14552840082; 14552840083; 14552840084; 14552840085; 14552840086; 14552840087; 14552840088; 14552840089; 1455284008А; 1455284008Б; 14552840090; 14552840091; 14552840092; 14552840093; 14552840094; 14552840095; 14552840096; 14552840097; 14552840098; 14552840099; 14552840100; 14552840101; 14552840102; 14552840103; 14552840104; 14552840105; 14552840110; 14552840111; 14552840112; 14552840113; 14552840114; 14552840115; 14552840116; 14552840117; 14552840118; 14552840119; 14552840120; 14552840121; 14552840122; 14552840123; 14552840124; 14552840125; 14552840126; 14552840127; 14552840128; 14552840129; 14552840130; 14552840131; 14552840132; 14552840133; 14552840134; 14552840135; 14552840136; 14552840137; 14552840140; 14552840141; 14552840142; 14552840143; 14552840144; 14552840145; 14552840146; 14552840147; 14552840148; 14552840149; 1455284014А; 1455284014Б; 1455284014В; 1455284014Г; 1455284014Д; 1455284014Е; 14552840150; 14552840151; 14552840152; 14552840153; 14552840154; 14552840155; 14552840156; 14552840157; 14552840160; 14552840161; 14552840162; 14552840163; 14552840164; 14552840165; 14552840166; 14552840170; 14552840171; 14552840172; 14552840173; 14552840174; 14552840180; 14552840181; 14552840182; 14552840183; 14552840184; 14552840185; 14552840186; 14552840187; 14552840200; 14552840201; 14552840202; 14552840203; 14552840204; 14552840205; 14552840206; 14552840210; 14552840211; 14552840212; 14552840213; 14552840214; 14552840215; 14552840216; 14552840217; 14552840218; 14552840219; 1455284021А; 14552840220; 14552840221; 14552840230; 14552840231; 14552840232; 14552840233; 14552840234; 14552840235; 14552840236; 14552840237; 14552840238; 14552840239; 14552840240; 14552840241; 14552840242; 14552840243; 14552840244; 14552840245; 14552840250; 14552840251; 14552840252; 14552840253; 14552840254; 14552840255; 14552840256; 14552840257; 14552840258; 14552840259; 1455284025А; 1455284025Б; 14552840260; 14552840261; 14552840262; 14552840263; 14552840264; 14552840265; 14552840266; 14552840267; 14552840268; 14552840269; 1455284026А; 14552840270; 14552840271; 14552840272; 14552840273; 14552840274; 14552840275; 14552840276; 14552840277; 14552840280; 14552840281; 14552840282; 14552840283; 14552840284;14552840285; 14552840286; 14552840287; 14552840288; 14552840289; 1455284028А; 1455284028Б; 1455284028В; 1455284028Г; 14552840290; 14552840291; 14552840292; 14552840293; 14552840294; 14552840295; 14552840296; 14552840297; 14552840298; 14552840300; 14552840301; 14552840302; 14552840303; 14552840310; 14552840311; 14552840312; 14552840313; 14552840314; 14552840315; 14552840316; 14552840317; 14552840318; 14552840319 -</w:t>
      </w:r>
      <w:r>
        <w:rPr>
          <w:rFonts w:ascii="Times New Roman" w:hAnsi="Times New Roman" w:cs="Times New Roman" w:eastAsia="Times New Roman"/>
          <w:b w:val="0"/>
          <w:i w:val="0"/>
          <w:color w:val="000000"/>
          <w:sz w:val="28"/>
          <w:szCs w:val="28"/>
        </w:rPr>
        <w:t xml:space="preserve"> для учета операций по переданным полномочиям получателя бюджетных средств.</w:t>
      </w:r>
    </w:p>
    <w:p>
      <w:pPr>
        <w:spacing w:before="0" w:after="0" w:beforeAutospacing="0" w:afterAutospacing="0"/>
        <w:ind w:firstLine="700" w:left="0" w:right="0"/>
        <w:jc w:val="left"/>
        <w:outlineLvl w:val="9"/>
      </w:pPr>
      <w:r>
        <w:rPr>
          <w:rFonts w:ascii="Times New Roman" w:hAnsi="Times New Roman" w:cs="Times New Roman" w:eastAsia="Times New Roman"/>
          <w:b w:val="0"/>
          <w:i w:val="0"/>
          <w:color w:val="000000"/>
          <w:sz w:val="28"/>
          <w:szCs w:val="28"/>
        </w:rPr>
        <w:t>в Министерстве финансов Пензенской области:</w:t>
      </w:r>
    </w:p>
    <w:p>
      <w:pPr>
        <w:numPr>
          <w:ilvl w:val="0"/>
          <w:numId w:val="2"/>
        </w:numPr>
        <w:shd w:val="clear" w:fill="auto"/>
        <w:spacing w:before="0" w:after="0" w:beforeAutospacing="0" w:afterAutospacing="0"/>
        <w:ind w:hanging="360" w:left="720" w:right="0"/>
        <w:jc w:val="both"/>
        <w:outlineLvl w:val="9"/>
        <w:rPr>
          <w:rFonts w:ascii="Arial" w:hAnsi="Arial" w:cs="Arial" w:eastAsia="Arial"/>
          <w:b w:val="0"/>
          <w:i w:val="0"/>
          <w:color w:val="000000"/>
          <w:sz w:val="28"/>
        </w:rPr>
      </w:pPr>
      <w:r>
        <w:rPr>
          <w:rFonts w:ascii="Times New Roman" w:hAnsi="Times New Roman" w:cs="Times New Roman" w:eastAsia="Times New Roman"/>
          <w:b w:val="0"/>
          <w:i w:val="0"/>
          <w:color w:val="000000"/>
          <w:sz w:val="28"/>
          <w:szCs w:val="28"/>
        </w:rPr>
        <w:t>№ 840D050001, № 840D050002, № 840D050006, № 840D050003, № 840D05004.</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xml:space="preserve">   Банковских счетов в кредитных организациях Министерство не имеет. </w:t>
      </w:r>
    </w:p>
    <w:p>
      <w:pPr>
        <w:spacing w:before="0" w:after="0" w:beforeAutospacing="0" w:afterAutospacing="0"/>
        <w:ind w:firstLine="700" w:left="0" w:right="0"/>
        <w:jc w:val="both"/>
        <w:outlineLvl w:val="9"/>
      </w:pPr>
      <w:r>
        <w:rPr>
          <w:rFonts w:ascii="Times New Roman" w:hAnsi="Times New Roman" w:cs="Times New Roman" w:eastAsia="Times New Roman"/>
          <w:b w:val="0"/>
          <w:i w:val="0"/>
          <w:color w:val="000000"/>
          <w:sz w:val="28"/>
          <w:szCs w:val="28"/>
        </w:rPr>
        <w:t>Ведение бухгалтерского учета в части выполнения полномочий главного распорядителя бюджетных средств осуществляется Управлением финансирования целевых программ и бюджетного учета Министерства.</w:t>
      </w:r>
    </w:p>
    <w:p>
      <w:pPr>
        <w:spacing w:lineRule="atLeast" w:line="322" w:before="0" w:after="0" w:beforeAutospacing="0" w:afterAutospacing="0"/>
        <w:ind w:firstLine="680" w:left="40" w:right="20"/>
        <w:jc w:val="both"/>
        <w:outlineLvl w:val="9"/>
      </w:pPr>
      <w:r>
        <w:rPr>
          <w:rFonts w:ascii="Times New Roman" w:hAnsi="Times New Roman" w:cs="Times New Roman" w:eastAsia="Times New Roman"/>
          <w:b w:val="0"/>
          <w:i w:val="0"/>
          <w:color w:val="000000"/>
          <w:sz w:val="28"/>
          <w:szCs w:val="28"/>
        </w:rPr>
        <w:t>Ведение бухгалтерского учета в части выполнения полномочий получателя бюджетных средств в соответствии с договором оказания услуг по ведению бюджетного учета органов исполнительной власти Пензенской области осуществляет ГКУ Пензенской области «Центр бухгалтерского учета» (постановление Правительства Пензенской области от 11.10.2022 № 865-пП).</w:t>
      </w:r>
      <w:r>
        <w:rPr>
          <w:rFonts w:ascii="Times New Roman" w:hAnsi="Times New Roman" w:cs="Times New Roman" w:eastAsia="Times New Roman"/>
          <w:b w:val="1"/>
          <w:i w:val="0"/>
          <w:color w:val="FF0000"/>
          <w:sz w:val="28"/>
          <w:szCs w:val="28"/>
        </w:rPr>
        <w:t xml:space="preserve"> </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xml:space="preserve">           Касса для выдачи наличных денежных средств в Министерстве отсутствует. Все расчеты осуществляются в безналичном порядке. </w:t>
      </w:r>
    </w:p>
    <w:p>
      <w:pPr>
        <w:spacing w:before="0" w:after="0" w:beforeAutospacing="0" w:afterAutospacing="0"/>
        <w:ind w:firstLine="0" w:left="0" w:right="0"/>
        <w:jc w:val="left"/>
        <w:outlineLvl w:val="9"/>
      </w:pPr>
      <w:r>
        <w:rPr>
          <w:rFonts w:ascii="Times New Roman" w:hAnsi="Times New Roman" w:cs="Times New Roman" w:eastAsia="Times New Roman"/>
          <w:b w:val="0"/>
          <w:i w:val="0"/>
          <w:color w:val="000000"/>
          <w:sz w:val="28"/>
          <w:szCs w:val="28"/>
        </w:rPr>
        <w:t>Подведомственные учреждения:</w:t>
      </w:r>
    </w:p>
    <w:p>
      <w:pPr>
        <w:spacing w:before="0" w:after="0" w:beforeAutospacing="0" w:afterAutospacing="0"/>
        <w:ind w:firstLine="0" w:left="0" w:right="0"/>
        <w:jc w:val="left"/>
        <w:outlineLvl w:val="9"/>
      </w:pPr>
      <w:r>
        <w:rPr>
          <w:rFonts w:ascii="Times New Roman" w:hAnsi="Times New Roman" w:cs="Times New Roman" w:eastAsia="Times New Roman"/>
          <w:b w:val="0"/>
          <w:i w:val="0"/>
          <w:color w:val="000000"/>
          <w:sz w:val="28"/>
          <w:szCs w:val="28"/>
        </w:rPr>
        <w:t>- ГУ ПО «ППСЦ»;</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Региональный фонд капитального ремонта многоквартирных домов Пензенской области.</w:t>
      </w:r>
    </w:p>
    <w:p>
      <w:pPr>
        <w:spacing w:before="0" w:after="0" w:beforeAutospacing="0" w:afterAutospacing="0"/>
        <w:ind w:firstLine="700" w:left="0" w:right="0"/>
        <w:jc w:val="both"/>
        <w:outlineLvl w:val="9"/>
      </w:pPr>
      <w:r>
        <w:rPr>
          <w:rFonts w:ascii="Times New Roman" w:hAnsi="Times New Roman" w:cs="Times New Roman" w:eastAsia="Times New Roman"/>
          <w:b w:val="0"/>
          <w:i w:val="0"/>
          <w:color w:val="000000"/>
          <w:sz w:val="28"/>
          <w:szCs w:val="28"/>
        </w:rPr>
        <w:t xml:space="preserve"> Бюджетные полномочия в отчетном периоде у Министерства не изменялись. </w:t>
      </w:r>
    </w:p>
    <w:p>
      <w:pPr>
        <w:spacing w:lineRule="atLeast" w:line="322" w:before="0" w:after="0" w:beforeAutospacing="0" w:afterAutospacing="0"/>
        <w:ind w:firstLine="680" w:left="40" w:right="20"/>
        <w:jc w:val="both"/>
        <w:outlineLvl w:val="9"/>
      </w:pPr>
      <w:r>
        <w:rPr>
          <w:rFonts w:ascii="Times New Roman" w:hAnsi="Times New Roman" w:cs="Times New Roman" w:eastAsia="Times New Roman"/>
          <w:b w:val="0"/>
          <w:i w:val="0"/>
          <w:color w:val="000000"/>
          <w:sz w:val="28"/>
          <w:szCs w:val="28"/>
        </w:rPr>
        <w:t>Министерство жилищно-коммунального хозяйства и гражданской защиты населения Пензенской области является исполнительным органом государственной власти Пензенской области, обеспечивающим проведение государственной политики в сфере жилищно-коммунального хозяйства и гражданской защиты населения на территории Пензенской области.</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Согласно Положения о Министерстве, утвержденного постановлением Правительства Пензенской области от 19.07.2021 № 424-пП «Об утверждении Положения о Министерстве жилищно-коммунального хозяйства и гражданской защиты населения Пензенской области», Министерство является правопреемником по правам и обязанностям Управления жилищно-коммунального хозяйства и гражданской защиты населения Пензенской области (Положение об Управлении жилищно-коммунального хозяйства и гражданской защиты населения Пензенской области, утвержденного постановлением Правительства Пензенской области от 20.01.2016 г. № 28-пП). </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Основными задачами Министерства являются:</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1. Реализация государственной политики реформирования жилищно-коммунального хозяйства с целью повышения качества жилищно-коммунальных услуг и удовлетворения социальных потребностей населения.</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2. Разработка и реализация региональных целевых программ в системе жилищно-коммунального хозяйства Пензенской области.</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3. Участие в реализации единой государственной политики в области территориальной и гражданской обороны, защиты населения и территорий от чрезвычайных ситуаций природного и техногенного характера, пожарной безопасности на территории Пензенской области.</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4. Разработка и реализация региональных адресных программ переселения граждан из аварийного жилищного фонда.</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5. Проведение работ, связанных с использованием сведений, составляющих государственную тайну, в соответствии с действующим законодательством.</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6. Осуществление регионального государственного жилищного контроля (надзора).</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7. Осуществление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8. Государственное регулирование тарифов (цен) на продукцию (товары, работы, услуги) в пределах установленных полномочий.</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9. Организация и осуществление регионального государственного контроля (надзора) в области регулируемых государством цен (тарифов).</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Министерство исполняет функции учредителя в отношении государственного бюджетного учреждения Пензенской области государственного бюджетного учреждения Пензенской области «Пензенский пожарно-спасательный центр», некоммерческой организации «Региональный фонд капитального ремонта многоквартирных домов Пензенской области».</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w:t>
      </w:r>
    </w:p>
    <w:p>
      <w:pPr>
        <w:spacing w:before="0" w:after="0" w:beforeAutospacing="0" w:afterAutospacing="0"/>
        <w:ind w:firstLine="0" w:left="0" w:right="0"/>
        <w:jc w:val="center"/>
        <w:outlineLvl w:val="9"/>
      </w:pPr>
      <w:r>
        <w:rPr>
          <w:rFonts w:ascii="Times New Roman" w:hAnsi="Times New Roman" w:cs="Times New Roman" w:eastAsia="Times New Roman"/>
          <w:b w:val="1"/>
          <w:i w:val="0"/>
          <w:color w:val="000000"/>
          <w:sz w:val="28"/>
          <w:szCs w:val="28"/>
        </w:rPr>
        <w:t> </w:t>
      </w:r>
    </w:p>
    <w:p>
      <w:pPr>
        <w:spacing w:before="0" w:after="0" w:beforeAutospacing="0" w:afterAutospacing="0"/>
        <w:ind w:firstLine="0" w:left="0" w:right="0"/>
        <w:jc w:val="center"/>
        <w:outlineLvl w:val="9"/>
      </w:pPr>
      <w:r>
        <w:rPr>
          <w:rFonts w:ascii="Times New Roman" w:hAnsi="Times New Roman" w:cs="Times New Roman" w:eastAsia="Times New Roman"/>
          <w:b w:val="1"/>
          <w:i w:val="0"/>
          <w:color w:val="000000"/>
          <w:sz w:val="28"/>
          <w:szCs w:val="28"/>
        </w:rPr>
        <w:t>2. Результаты деятельности субъекта бюджетной отчетности</w:t>
      </w:r>
    </w:p>
    <w:p>
      <w:pPr>
        <w:spacing w:before="0" w:after="0" w:beforeAutospacing="0" w:afterAutospacing="0"/>
        <w:ind w:firstLine="0" w:left="0" w:right="0"/>
        <w:jc w:val="center"/>
        <w:outlineLvl w:val="9"/>
      </w:pPr>
      <w:r>
        <w:rPr>
          <w:rFonts w:ascii="Times New Roman" w:hAnsi="Times New Roman" w:cs="Times New Roman" w:eastAsia="Times New Roman"/>
          <w:b w:val="1"/>
          <w:i w:val="0"/>
          <w:color w:val="000000"/>
          <w:sz w:val="28"/>
          <w:szCs w:val="28"/>
        </w:rPr>
        <w:t> </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Согласно штатному расписанию численность сотрудников Министерства составляет 110 человек. На 1 июля 2024г. фактическая численность составила 97 человек, средняя численность составила 100 человек.</w:t>
      </w:r>
    </w:p>
    <w:p>
      <w:pPr>
        <w:spacing w:before="0" w:after="0" w:beforeAutospacing="0" w:afterAutospacing="0"/>
        <w:ind w:firstLine="720" w:left="0" w:right="0"/>
        <w:jc w:val="both"/>
        <w:outlineLvl w:val="9"/>
      </w:pPr>
      <w:r>
        <w:rPr>
          <w:rFonts w:ascii="Times New Roman" w:hAnsi="Times New Roman" w:cs="Times New Roman" w:eastAsia="Times New Roman"/>
          <w:b w:val="0"/>
          <w:i w:val="0"/>
          <w:color w:val="000000"/>
          <w:sz w:val="28"/>
          <w:szCs w:val="28"/>
        </w:rPr>
        <w:t xml:space="preserve">Показатели расходов на приобретение товаров (работ, услуг) отражены в отчете (ф. 0503127) на 01.07.2024г. Основные средства находятся в исправном техническом состоянии. Потребности в ремонте основных средств в отчетном периоде не было. Недостачи и порчи имущества за отчетный период не выявлено. Основные средства использовались для нужд Министерства по своему целевому назначению. Объектов аренды у учреждения нет. </w:t>
      </w:r>
    </w:p>
    <w:p>
      <w:pPr>
        <w:spacing w:before="0" w:after="0" w:beforeAutospacing="0" w:afterAutospacing="0"/>
        <w:ind w:firstLine="0" w:left="0" w:right="0"/>
        <w:jc w:val="center"/>
        <w:outlineLvl w:val="9"/>
      </w:pPr>
      <w:r>
        <w:rPr>
          <w:rFonts w:ascii="Times New Roman" w:hAnsi="Times New Roman" w:cs="Times New Roman" w:eastAsia="Times New Roman"/>
          <w:b w:val="1"/>
          <w:i w:val="0"/>
          <w:color w:val="000000"/>
          <w:sz w:val="28"/>
          <w:szCs w:val="28"/>
        </w:rPr>
        <w:t> </w:t>
      </w:r>
    </w:p>
    <w:p>
      <w:pPr>
        <w:spacing w:before="0" w:after="0" w:beforeAutospacing="0" w:afterAutospacing="0"/>
        <w:ind w:firstLine="0" w:left="0" w:right="0"/>
        <w:jc w:val="center"/>
        <w:outlineLvl w:val="9"/>
      </w:pPr>
      <w:r>
        <w:rPr>
          <w:rFonts w:ascii="Times New Roman" w:hAnsi="Times New Roman" w:cs="Times New Roman" w:eastAsia="Times New Roman"/>
          <w:b w:val="1"/>
          <w:i w:val="0"/>
          <w:color w:val="000000"/>
          <w:sz w:val="28"/>
          <w:szCs w:val="28"/>
        </w:rPr>
        <w:t>3. Анализ отчета об исполнении бюджета  субъектом бюджетной отчетности</w:t>
      </w:r>
    </w:p>
    <w:p>
      <w:pPr>
        <w:spacing w:before="0" w:after="0" w:beforeAutospacing="0" w:afterAutospacing="0"/>
        <w:ind w:firstLine="0" w:left="0" w:right="0"/>
        <w:jc w:val="center"/>
        <w:outlineLvl w:val="9"/>
      </w:pPr>
      <w:r>
        <w:rPr>
          <w:rFonts w:ascii="Times New Roman" w:hAnsi="Times New Roman" w:cs="Times New Roman" w:eastAsia="Times New Roman"/>
          <w:b w:val="0"/>
          <w:i w:val="0"/>
          <w:color w:val="000000"/>
          <w:sz w:val="28"/>
          <w:szCs w:val="28"/>
        </w:rPr>
        <w:t> </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Утвержденные бюджетные назначения по доходам, администрируемым Министерством на 01.07.2024г. составили 1 045 075 894,96 руб., всего поступило 665 894 748,57 руб. или 63,7 %   от годового плана, в том числе:</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 </w:t>
      </w:r>
      <w:r>
        <w:rPr>
          <w:rFonts w:ascii="Times New Roman" w:hAnsi="Times New Roman" w:cs="Times New Roman" w:eastAsia="Times New Roman"/>
          <w:b w:val="1"/>
          <w:i w:val="1"/>
          <w:color w:val="000000"/>
          <w:sz w:val="28"/>
          <w:szCs w:val="28"/>
        </w:rPr>
        <w:t>840 20225299020000150</w:t>
      </w:r>
      <w:r>
        <w:rPr>
          <w:rFonts w:ascii="Times New Roman" w:hAnsi="Times New Roman" w:cs="Times New Roman" w:eastAsia="Times New Roman"/>
          <w:b w:val="0"/>
          <w:i w:val="0"/>
          <w:color w:val="000000"/>
          <w:sz w:val="28"/>
          <w:szCs w:val="28"/>
        </w:rPr>
        <w:t xml:space="preserve"> субсидии бюджетам субъектов РФ на софинансирование расходных обязательств субъектов РФ, связанных с реализацией федеральной целевой программы "Увековечение памяти погибших при защите Отечества на 2019 - 2024 годы" план - 423 200,00 руб., исполнено 423 2000,00 руб. (100,0%);</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 </w:t>
      </w:r>
      <w:r>
        <w:rPr>
          <w:rFonts w:ascii="Times New Roman" w:hAnsi="Times New Roman" w:cs="Times New Roman" w:eastAsia="Times New Roman"/>
          <w:b w:val="1"/>
          <w:i w:val="1"/>
          <w:color w:val="000000"/>
          <w:sz w:val="28"/>
          <w:szCs w:val="28"/>
        </w:rPr>
        <w:t>840 20225555020000150</w:t>
      </w:r>
      <w:r>
        <w:rPr>
          <w:rFonts w:ascii="Times New Roman" w:hAnsi="Times New Roman" w:cs="Times New Roman" w:eastAsia="Times New Roman"/>
          <w:b w:val="0"/>
          <w:i w:val="0"/>
          <w:color w:val="000000"/>
          <w:sz w:val="28"/>
          <w:szCs w:val="28"/>
        </w:rPr>
        <w:t xml:space="preserve"> субсидии бюджетам субъектов РФ на реализацию программ формирования современной городской среды план - 308 142 200,00 руб., исполнено 66 416 173,17 руб. (21,6%);</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 </w:t>
      </w:r>
      <w:r>
        <w:rPr>
          <w:rFonts w:ascii="Times New Roman" w:hAnsi="Times New Roman" w:cs="Times New Roman" w:eastAsia="Times New Roman"/>
          <w:b w:val="1"/>
          <w:i w:val="1"/>
          <w:color w:val="000000"/>
          <w:sz w:val="28"/>
          <w:szCs w:val="28"/>
        </w:rPr>
        <w:t>840 20245424020000150</w:t>
      </w:r>
      <w:r>
        <w:rPr>
          <w:rFonts w:ascii="Times New Roman" w:hAnsi="Times New Roman" w:cs="Times New Roman" w:eastAsia="Times New Roman"/>
          <w:b w:val="0"/>
          <w:i w:val="0"/>
          <w:color w:val="000000"/>
          <w:sz w:val="28"/>
          <w:szCs w:val="28"/>
        </w:rPr>
        <w:t xml:space="preserve"> межбюджетные трансферты, передаваемые бюджетам субъектов РФ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план - 92 125 100,00 руб., исполнено 92 125 100,00 руб. (100,0%);</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 </w:t>
      </w:r>
      <w:r>
        <w:rPr>
          <w:rFonts w:ascii="Times New Roman" w:hAnsi="Times New Roman" w:cs="Times New Roman" w:eastAsia="Times New Roman"/>
          <w:b w:val="1"/>
          <w:i w:val="1"/>
          <w:color w:val="000000"/>
          <w:sz w:val="28"/>
          <w:szCs w:val="28"/>
        </w:rPr>
        <w:t>840 20302040020000150</w:t>
      </w:r>
      <w:r>
        <w:rPr>
          <w:rFonts w:ascii="Times New Roman" w:hAnsi="Times New Roman" w:cs="Times New Roman" w:eastAsia="Times New Roman"/>
          <w:b w:val="0"/>
          <w:i w:val="0"/>
          <w:color w:val="000000"/>
          <w:sz w:val="28"/>
          <w:szCs w:val="28"/>
        </w:rPr>
        <w:t xml:space="preserve"> безвозмездные поступления в бюджеты субъектов РФ от государственной корпорации - Фонда содействия реформированию ЖКХ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план - 515 168 394,96 руб., поступило 452 108 273,75 руб. (87,8%);</w:t>
      </w:r>
    </w:p>
    <w:p>
      <w:pPr>
        <w:spacing w:before="0" w:after="0" w:beforeAutospacing="0" w:afterAutospacing="0"/>
        <w:ind w:firstLine="540" w:left="0" w:right="0"/>
        <w:jc w:val="both"/>
        <w:outlineLvl w:val="9"/>
      </w:pPr>
      <w:r>
        <w:rPr>
          <w:rFonts w:ascii="Times New Roman" w:hAnsi="Times New Roman" w:cs="Times New Roman" w:eastAsia="Times New Roman"/>
          <w:b w:val="1"/>
          <w:i w:val="1"/>
          <w:color w:val="000000"/>
          <w:sz w:val="28"/>
          <w:szCs w:val="28"/>
        </w:rPr>
        <w:t>- 840 20302080020000150</w:t>
      </w:r>
      <w:r>
        <w:rPr>
          <w:rFonts w:ascii="Times New Roman" w:hAnsi="Times New Roman" w:cs="Times New Roman" w:eastAsia="Times New Roman"/>
          <w:b w:val="0"/>
          <w:i w:val="0"/>
          <w:color w:val="000000"/>
          <w:sz w:val="28"/>
          <w:szCs w:val="28"/>
        </w:rPr>
        <w:t xml:space="preserve"> безвозмездные поступления в бюджеты субъектов Российской Федерации от публично-правовой компании "Фонд развития территорий" на обеспечение мероприятий по модернизации систем коммунальной инфраструктуры план - 127 400 000,00 руб., поступило 53 555 500,00 руб. (42,0%);</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 </w:t>
      </w:r>
      <w:r>
        <w:rPr>
          <w:rFonts w:ascii="Times New Roman" w:hAnsi="Times New Roman" w:cs="Times New Roman" w:eastAsia="Times New Roman"/>
          <w:b w:val="1"/>
          <w:i w:val="1"/>
          <w:color w:val="000000"/>
          <w:sz w:val="28"/>
          <w:szCs w:val="28"/>
        </w:rPr>
        <w:t>840 11602010020000140</w:t>
      </w:r>
      <w:r>
        <w:rPr>
          <w:rFonts w:ascii="Times New Roman" w:hAnsi="Times New Roman" w:cs="Times New Roman" w:eastAsia="Times New Roman"/>
          <w:b w:val="0"/>
          <w:i w:val="0"/>
          <w:color w:val="000000"/>
          <w:sz w:val="28"/>
          <w:szCs w:val="28"/>
        </w:rPr>
        <w:t xml:space="preserve"> административные штрафы, установленные законами субъектов РФ об административных правонарушениях, за нарушение законов и иных нормативных правовых актов субъектов РФ поступило 210 147,49 руб. из плановых 202 000,00 руб. (104,0%);</w:t>
      </w:r>
    </w:p>
    <w:p>
      <w:pPr>
        <w:spacing w:before="0" w:after="0" w:beforeAutospacing="0" w:afterAutospacing="0"/>
        <w:ind w:firstLine="540" w:left="0" w:right="0"/>
        <w:jc w:val="both"/>
        <w:outlineLvl w:val="9"/>
      </w:pPr>
      <w:r>
        <w:rPr>
          <w:rFonts w:ascii="Times New Roman" w:hAnsi="Times New Roman" w:cs="Times New Roman" w:eastAsia="Times New Roman"/>
          <w:b w:val="1"/>
          <w:i w:val="0"/>
          <w:color w:val="000000"/>
          <w:sz w:val="28"/>
          <w:szCs w:val="28"/>
        </w:rPr>
        <w:t xml:space="preserve">- </w:t>
      </w:r>
      <w:r>
        <w:rPr>
          <w:rFonts w:ascii="Times New Roman" w:hAnsi="Times New Roman" w:cs="Times New Roman" w:eastAsia="Times New Roman"/>
          <w:b w:val="1"/>
          <w:i w:val="1"/>
          <w:color w:val="000000"/>
          <w:sz w:val="28"/>
          <w:szCs w:val="28"/>
        </w:rPr>
        <w:t xml:space="preserve">840 11601072010233140 </w:t>
      </w:r>
      <w:r>
        <w:rPr>
          <w:rFonts w:ascii="Times New Roman" w:hAnsi="Times New Roman" w:cs="Times New Roman" w:eastAsia="Times New Roman"/>
          <w:b w:val="0"/>
          <w:i w:val="0"/>
          <w:color w:val="000000"/>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осуществления предпринимательской деятельности по управлению многоквартирными домами</w:t>
      </w:r>
      <w:r>
        <w:rPr>
          <w:rFonts w:ascii="Times New Roman" w:hAnsi="Times New Roman" w:cs="Times New Roman" w:eastAsia="Times New Roman"/>
          <w:b w:val="1"/>
          <w:i w:val="1"/>
          <w:color w:val="000000"/>
          <w:sz w:val="28"/>
          <w:szCs w:val="28"/>
        </w:rPr>
        <w:t>)</w:t>
      </w:r>
      <w:r>
        <w:rPr>
          <w:rFonts w:ascii="Times New Roman" w:hAnsi="Times New Roman" w:cs="Times New Roman" w:eastAsia="Times New Roman"/>
          <w:b w:val="0"/>
          <w:i w:val="0"/>
          <w:color w:val="000000"/>
          <w:sz w:val="28"/>
          <w:szCs w:val="28"/>
        </w:rPr>
        <w:t xml:space="preserve"> поступило 9 536,39 руб. при плане 30 000,00 руб. (31,8%);</w:t>
      </w:r>
    </w:p>
    <w:p>
      <w:pPr>
        <w:spacing w:before="0" w:after="0" w:beforeAutospacing="0" w:afterAutospacing="0"/>
        <w:ind w:firstLine="540" w:left="0" w:right="0"/>
        <w:jc w:val="both"/>
        <w:outlineLvl w:val="9"/>
      </w:pPr>
      <w:r>
        <w:rPr>
          <w:rFonts w:ascii="Times New Roman" w:hAnsi="Times New Roman" w:cs="Times New Roman" w:eastAsia="Times New Roman"/>
          <w:b w:val="1"/>
          <w:i w:val="1"/>
          <w:color w:val="000000"/>
          <w:sz w:val="28"/>
          <w:szCs w:val="28"/>
        </w:rPr>
        <w:t xml:space="preserve">- 840 11601072019000140 </w:t>
      </w:r>
      <w:r>
        <w:rPr>
          <w:rFonts w:ascii="Times New Roman" w:hAnsi="Times New Roman" w:cs="Times New Roman" w:eastAsia="Times New Roman"/>
          <w:b w:val="0"/>
          <w:i w:val="0"/>
          <w:color w:val="000000"/>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 поступило 13 730,15 руб. из плановых 60 000,00 руб. (22,9%);</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 </w:t>
      </w:r>
      <w:r>
        <w:rPr>
          <w:rFonts w:ascii="Times New Roman" w:hAnsi="Times New Roman" w:cs="Times New Roman" w:eastAsia="Times New Roman"/>
          <w:b w:val="1"/>
          <w:i w:val="1"/>
          <w:color w:val="000000"/>
          <w:sz w:val="28"/>
          <w:szCs w:val="28"/>
        </w:rPr>
        <w:t xml:space="preserve">840 11601092019000140 </w:t>
      </w:r>
      <w:r>
        <w:rPr>
          <w:rFonts w:ascii="Times New Roman" w:hAnsi="Times New Roman" w:cs="Times New Roman" w:eastAsia="Times New Roman"/>
          <w:b w:val="0"/>
          <w:i w:val="0"/>
          <w:color w:val="000000"/>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 поступило 2 000,00 руб., при плане 4 000,00 руб. (50,0%);</w:t>
      </w:r>
    </w:p>
    <w:p>
      <w:pPr>
        <w:spacing w:before="0" w:after="0" w:beforeAutospacing="0" w:afterAutospacing="0"/>
        <w:ind w:firstLine="540" w:left="0" w:right="0"/>
        <w:jc w:val="both"/>
        <w:outlineLvl w:val="9"/>
      </w:pPr>
      <w:r>
        <w:rPr>
          <w:rFonts w:ascii="Times New Roman" w:hAnsi="Times New Roman" w:cs="Times New Roman" w:eastAsia="Times New Roman"/>
          <w:b w:val="1"/>
          <w:i w:val="1"/>
          <w:color w:val="000000"/>
          <w:sz w:val="28"/>
          <w:szCs w:val="28"/>
        </w:rPr>
        <w:t xml:space="preserve">- 840 11601142019002140 </w:t>
      </w:r>
      <w:r>
        <w:rPr>
          <w:rFonts w:ascii="Times New Roman" w:hAnsi="Times New Roman" w:cs="Times New Roman" w:eastAsia="Times New Roman"/>
          <w:b w:val="0"/>
          <w:i w:val="0"/>
          <w:color w:val="000000"/>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 за исключением штрафов за административные правонарушения в области производства и оборота этилового спирта, алкогольной и спиртосодержащей продукции) при плане 1 400 000,00 руб. поступило - 1 024 455,70 руб. (73,2%);</w:t>
      </w:r>
    </w:p>
    <w:p>
      <w:pPr>
        <w:spacing w:before="0" w:after="0" w:beforeAutospacing="0" w:afterAutospacing="0"/>
        <w:ind w:firstLine="540" w:left="0" w:right="0"/>
        <w:jc w:val="both"/>
        <w:outlineLvl w:val="9"/>
      </w:pPr>
      <w:r>
        <w:rPr>
          <w:rFonts w:ascii="Times New Roman" w:hAnsi="Times New Roman" w:cs="Times New Roman" w:eastAsia="Times New Roman"/>
          <w:b w:val="1"/>
          <w:i w:val="1"/>
          <w:color w:val="000000"/>
          <w:sz w:val="28"/>
          <w:szCs w:val="28"/>
        </w:rPr>
        <w:t xml:space="preserve">- 840 11601192010005140 </w:t>
      </w:r>
      <w:r>
        <w:rPr>
          <w:rFonts w:ascii="Times New Roman" w:hAnsi="Times New Roman" w:cs="Times New Roman" w:eastAsia="Times New Roman"/>
          <w:b w:val="0"/>
          <w:i w:val="0"/>
          <w:color w:val="000000"/>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 план 1 000,00 руб., поступило 63,12 руб. (6,3%);</w:t>
      </w:r>
    </w:p>
    <w:p>
      <w:pPr>
        <w:spacing w:before="0" w:after="0" w:beforeAutospacing="0" w:afterAutospacing="0"/>
        <w:ind w:firstLine="540" w:left="0" w:right="0"/>
        <w:jc w:val="both"/>
        <w:outlineLvl w:val="9"/>
      </w:pPr>
      <w:r>
        <w:rPr>
          <w:rFonts w:ascii="Times New Roman" w:hAnsi="Times New Roman" w:cs="Times New Roman" w:eastAsia="Times New Roman"/>
          <w:b w:val="1"/>
          <w:i w:val="1"/>
          <w:color w:val="000000"/>
          <w:sz w:val="28"/>
          <w:szCs w:val="28"/>
        </w:rPr>
        <w:t>- 840 10807400011000110</w:t>
      </w:r>
      <w:r>
        <w:rPr>
          <w:rFonts w:ascii="Times New Roman" w:hAnsi="Times New Roman" w:cs="Times New Roman" w:eastAsia="Times New Roman"/>
          <w:b w:val="0"/>
          <w:i w:val="0"/>
          <w:color w:val="000000"/>
          <w:sz w:val="28"/>
          <w:szCs w:val="28"/>
        </w:rPr>
        <w:t xml:space="preserve"> 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 (сумма платежа (перерасчеты, недоимка и задолженность по соответствующему платежу, в том числе по отмененному) план 120 000,00 руб.;</w:t>
      </w:r>
    </w:p>
    <w:p>
      <w:pPr>
        <w:spacing w:before="0" w:after="0" w:beforeAutospacing="0" w:afterAutospacing="0"/>
        <w:ind w:firstLine="540" w:left="0" w:right="0"/>
        <w:jc w:val="both"/>
        <w:outlineLvl w:val="9"/>
      </w:pPr>
      <w:r>
        <w:rPr>
          <w:rFonts w:ascii="Times New Roman" w:hAnsi="Times New Roman" w:cs="Times New Roman" w:eastAsia="Times New Roman"/>
          <w:b w:val="1"/>
          <w:i w:val="1"/>
          <w:color w:val="000000"/>
          <w:sz w:val="28"/>
          <w:szCs w:val="28"/>
        </w:rPr>
        <w:t>- 840 11302992020000130</w:t>
      </w:r>
      <w:r>
        <w:rPr>
          <w:rFonts w:ascii="Times New Roman" w:hAnsi="Times New Roman" w:cs="Times New Roman" w:eastAsia="Times New Roman"/>
          <w:b w:val="0"/>
          <w:i w:val="0"/>
          <w:color w:val="000000"/>
          <w:sz w:val="28"/>
          <w:szCs w:val="28"/>
        </w:rPr>
        <w:t xml:space="preserve"> прочие доходы от компенсации затрат бюджетов субъектов Российской Федерации поступило 6 568,80 руб.</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Кассовые расходы на 1 июля 2024 года из плановых показателей в сумме 2 062 762 840,13 руб. составили 994 890 508,27 руб. или 48,2%.</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В рамках Государственной программы Пензенской области «Обеспечение жильем и коммунальными услугами населения Пензенской области на 2014 - 2024 годы» расходы на содержание аппарата по целевым статьям </w:t>
      </w:r>
      <w:r>
        <w:rPr>
          <w:rFonts w:ascii="Times New Roman" w:hAnsi="Times New Roman" w:cs="Times New Roman" w:eastAsia="Times New Roman"/>
          <w:b w:val="1"/>
          <w:i w:val="1"/>
          <w:color w:val="000000"/>
          <w:sz w:val="28"/>
          <w:szCs w:val="28"/>
        </w:rPr>
        <w:t> 840 8010002100</w:t>
      </w:r>
      <w:r>
        <w:rPr>
          <w:rFonts w:ascii="Times New Roman" w:hAnsi="Times New Roman" w:cs="Times New Roman" w:eastAsia="Times New Roman"/>
          <w:b w:val="0"/>
          <w:i w:val="0"/>
          <w:color w:val="000000"/>
          <w:sz w:val="28"/>
          <w:szCs w:val="28"/>
        </w:rPr>
        <w:t xml:space="preserve">, </w:t>
      </w:r>
      <w:r>
        <w:rPr>
          <w:rFonts w:ascii="Times New Roman" w:hAnsi="Times New Roman" w:cs="Times New Roman" w:eastAsia="Times New Roman"/>
          <w:b w:val="1"/>
          <w:i w:val="1"/>
          <w:color w:val="000000"/>
          <w:sz w:val="28"/>
          <w:szCs w:val="28"/>
        </w:rPr>
        <w:t>840 8010002200</w:t>
      </w:r>
      <w:r>
        <w:rPr>
          <w:rFonts w:ascii="Times New Roman" w:hAnsi="Times New Roman" w:cs="Times New Roman" w:eastAsia="Times New Roman"/>
          <w:b w:val="0"/>
          <w:i w:val="0"/>
          <w:color w:val="000000"/>
          <w:sz w:val="28"/>
          <w:szCs w:val="28"/>
        </w:rPr>
        <w:t xml:space="preserve">  составили 76 673 883,38 руб. при годовом плане 139 709 448,18 руб., т.е. 54,9%, в том числе:</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 на оплату труда и начисления на выплаты по оплате труда –  74 913 050,94 руб., </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больничные - 291 811,51 руб.;</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на выплату командировочных расходов (транс. услуги, суточные, проживание)  –  113 830,80 руб.,</w:t>
      </w:r>
    </w:p>
    <w:p>
      <w:pPr>
        <w:spacing w:before="0" w:after="0" w:beforeAutospacing="0" w:afterAutospacing="0"/>
        <w:ind w:firstLine="540" w:left="0" w:right="0"/>
        <w:jc w:val="left"/>
        <w:outlineLvl w:val="9"/>
      </w:pPr>
      <w:r>
        <w:rPr>
          <w:rFonts w:ascii="Times New Roman" w:hAnsi="Times New Roman" w:cs="Times New Roman" w:eastAsia="Times New Roman"/>
          <w:b w:val="0"/>
          <w:i w:val="0"/>
          <w:color w:val="000000"/>
          <w:sz w:val="28"/>
          <w:szCs w:val="28"/>
        </w:rPr>
        <w:t>- оплата прочих работ, услуг – 1 355 190,13 руб.</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0505 8030021220 244 226</w:t>
      </w:r>
      <w:r>
        <w:rPr>
          <w:rFonts w:ascii="Times New Roman" w:hAnsi="Times New Roman" w:cs="Times New Roman" w:eastAsia="Times New Roman"/>
          <w:b w:val="0"/>
          <w:i w:val="0"/>
          <w:color w:val="000000"/>
          <w:sz w:val="28"/>
          <w:szCs w:val="28"/>
        </w:rPr>
        <w:t xml:space="preserve"> расходы на реализацию Закона Пензенской области «О звании «Почетный гражданин Пензенской области» лимиты в сумме 200 000,00 руб. выплачивается по заявлению о возмещении расходов на погребение почетного гражданина Пензенской области. </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0113 8020074310 530 251</w:t>
      </w:r>
      <w:r>
        <w:rPr>
          <w:rFonts w:ascii="Times New Roman" w:hAnsi="Times New Roman" w:cs="Times New Roman" w:eastAsia="Times New Roman"/>
          <w:b w:val="0"/>
          <w:i w:val="0"/>
          <w:color w:val="000000"/>
          <w:sz w:val="28"/>
          <w:szCs w:val="28"/>
        </w:rPr>
        <w:t xml:space="preserve"> перечислено субвенции на исполнение государственных полномочий в сфере административных правоотношений в сумме 11 098 663,32  руб. из годового плана 23 276 600,00 руб., что составляет 47,7 %.</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0502 1530171350 521 251</w:t>
      </w:r>
      <w:r>
        <w:rPr>
          <w:rFonts w:ascii="Times New Roman" w:hAnsi="Times New Roman" w:cs="Times New Roman" w:eastAsia="Times New Roman"/>
          <w:b w:val="0"/>
          <w:i w:val="0"/>
          <w:color w:val="000000"/>
          <w:sz w:val="28"/>
          <w:szCs w:val="28"/>
        </w:rPr>
        <w:t xml:space="preserve"> в сумме 83 479 429,20 руб. субсидия на капитальный ремонт и ремонт сетей и сооружений водоснабжения в населенных пунктах Пензенской области. Освоено 25 291 970,91 руб. (30,3%).</w:t>
      </w:r>
    </w:p>
    <w:p>
      <w:pPr>
        <w:spacing w:before="0" w:after="0" w:beforeAutospacing="0" w:afterAutospacing="0"/>
        <w:ind w:firstLine="72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0502 1530171370 522 254</w:t>
      </w:r>
      <w:r>
        <w:rPr>
          <w:rFonts w:ascii="Times New Roman" w:hAnsi="Times New Roman" w:cs="Times New Roman" w:eastAsia="Times New Roman"/>
          <w:b w:val="0"/>
          <w:i w:val="0"/>
          <w:color w:val="000000"/>
          <w:sz w:val="28"/>
          <w:szCs w:val="28"/>
        </w:rPr>
        <w:t xml:space="preserve"> в сумме 11 346 132,00 руб. субсидии на строительство и реконструкцию сетей и сооружений водоснабжения в населенных пунктах Пензенской области. Осноено 11 346 132,00 руб. (100,0%).</w:t>
      </w:r>
    </w:p>
    <w:p>
      <w:pPr>
        <w:spacing w:before="0" w:after="0" w:beforeAutospacing="0" w:afterAutospacing="0"/>
        <w:ind w:firstLine="72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0502 0540465210 244 226</w:t>
      </w:r>
      <w:r>
        <w:rPr>
          <w:rFonts w:ascii="Times New Roman" w:hAnsi="Times New Roman" w:cs="Times New Roman" w:eastAsia="Times New Roman"/>
          <w:b w:val="0"/>
          <w:i w:val="0"/>
          <w:color w:val="000000"/>
          <w:sz w:val="28"/>
          <w:szCs w:val="28"/>
        </w:rPr>
        <w:t xml:space="preserve"> в отчетном периоде перечислена плата за хранение аварийного резерва на сумму 325 750,00 руб. (41,6%) из запланированных на год 782 160,00 руб.</w:t>
      </w:r>
    </w:p>
    <w:p>
      <w:pPr>
        <w:spacing w:before="0" w:after="0" w:beforeAutospacing="0" w:afterAutospacing="0"/>
        <w:ind w:firstLine="72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0502 0540465210 244 346</w:t>
      </w:r>
      <w:r>
        <w:rPr>
          <w:rFonts w:ascii="Times New Roman" w:hAnsi="Times New Roman" w:cs="Times New Roman" w:eastAsia="Times New Roman"/>
          <w:b w:val="0"/>
          <w:i w:val="0"/>
          <w:color w:val="000000"/>
          <w:sz w:val="28"/>
          <w:szCs w:val="28"/>
        </w:rPr>
        <w:t xml:space="preserve"> в целях увеличения аварийного резерва материально-технических ресурсов для предупреждения ситуаций, которые могут привести к нарушению функционирования систем жизнеобеспечения населения и ликвидации их последствий на объектах жилищно-коммунального хозяйства Пензенской области, созданного согласно постановления Правительства Пензенской области от 27.10.2006 г. № 687-пП, закупка материально - технических ресурсов на сумму 15 617 840,00 руб. Планируется к освоению в 3 и 4 кварталах 2024 года. </w:t>
      </w:r>
    </w:p>
    <w:p>
      <w:pPr>
        <w:spacing w:before="0" w:after="0" w:beforeAutospacing="0" w:afterAutospacing="0"/>
        <w:ind w:firstLine="72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0502 1530171380</w:t>
      </w:r>
      <w:r>
        <w:rPr>
          <w:rFonts w:ascii="Times New Roman" w:hAnsi="Times New Roman" w:cs="Times New Roman" w:eastAsia="Times New Roman"/>
          <w:b w:val="0"/>
          <w:i w:val="0"/>
          <w:color w:val="000000"/>
          <w:sz w:val="28"/>
          <w:szCs w:val="28"/>
        </w:rPr>
        <w:t xml:space="preserve"> </w:t>
      </w:r>
      <w:r>
        <w:rPr>
          <w:rFonts w:ascii="Times New Roman" w:hAnsi="Times New Roman" w:cs="Times New Roman" w:eastAsia="Times New Roman"/>
          <w:b w:val="1"/>
          <w:i w:val="1"/>
          <w:color w:val="000000"/>
          <w:sz w:val="28"/>
          <w:szCs w:val="28"/>
        </w:rPr>
        <w:t>521 254</w:t>
      </w:r>
      <w:r>
        <w:rPr>
          <w:rFonts w:ascii="Times New Roman" w:hAnsi="Times New Roman" w:cs="Times New Roman" w:eastAsia="Times New Roman"/>
          <w:b w:val="0"/>
          <w:i w:val="0"/>
          <w:color w:val="000000"/>
          <w:sz w:val="28"/>
          <w:szCs w:val="28"/>
        </w:rPr>
        <w:t xml:space="preserve"> закупка коммунальной техники при плане 73 098 900,00 руб., освоено 70 649 002,15 руб. (96,6%).</w:t>
      </w:r>
    </w:p>
    <w:p>
      <w:pPr>
        <w:spacing w:before="0" w:after="0" w:beforeAutospacing="0" w:afterAutospacing="0"/>
        <w:ind w:firstLine="72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 xml:space="preserve">КБК 840 0502 1530171560 521 251 </w:t>
      </w:r>
      <w:r>
        <w:rPr>
          <w:rFonts w:ascii="Times New Roman" w:hAnsi="Times New Roman" w:cs="Times New Roman" w:eastAsia="Times New Roman"/>
          <w:b w:val="0"/>
          <w:i w:val="0"/>
          <w:color w:val="000000"/>
          <w:sz w:val="28"/>
          <w:szCs w:val="28"/>
        </w:rPr>
        <w:t xml:space="preserve">субсидии на реконструкцию (модернизацию) и капитальный ремонт тепловых сетей и сооружений в населенных пунктах Пензенской области план 20 000 000,00 руб. Освоено 16 496 545,65 руб. (82,5%). </w:t>
      </w:r>
    </w:p>
    <w:p>
      <w:pPr>
        <w:spacing w:before="0" w:after="0" w:beforeAutospacing="0" w:afterAutospacing="0"/>
        <w:ind w:firstLine="72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0502 1520109505 521 251</w:t>
      </w:r>
      <w:r>
        <w:rPr>
          <w:rFonts w:ascii="Times New Roman" w:hAnsi="Times New Roman" w:cs="Times New Roman" w:eastAsia="Times New Roman"/>
          <w:b w:val="0"/>
          <w:i w:val="0"/>
          <w:color w:val="000000"/>
          <w:sz w:val="28"/>
          <w:szCs w:val="28"/>
        </w:rPr>
        <w:t xml:space="preserve"> субсидии на обеспечение мероприятий по модернизации систем коммунальной инфраструктуры за счет средств публично-правовой компании «Фонд развития территорий» план 41 032 000,00 руб., освоено 1 728 500,00 руб. (4,2%).</w:t>
      </w:r>
    </w:p>
    <w:p>
      <w:pPr>
        <w:spacing w:before="0" w:after="0" w:beforeAutospacing="0" w:afterAutospacing="0"/>
        <w:ind w:firstLine="72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0502 1520109505 522 254</w:t>
      </w:r>
      <w:r>
        <w:rPr>
          <w:rFonts w:ascii="Times New Roman" w:hAnsi="Times New Roman" w:cs="Times New Roman" w:eastAsia="Times New Roman"/>
          <w:b w:val="0"/>
          <w:i w:val="0"/>
          <w:color w:val="000000"/>
          <w:sz w:val="28"/>
          <w:szCs w:val="28"/>
        </w:rPr>
        <w:t xml:space="preserve"> субсидии на обеспечение мероприятий по модернизации систем коммунальной инфраструктуры за счет средств публично-правовой компании «Фонд развития территорий» план 37 641 000,00 руб., планируется к освоению в 3 и 4 кварталах 2024 года. </w:t>
      </w:r>
    </w:p>
    <w:p>
      <w:pPr>
        <w:spacing w:before="0" w:after="0" w:beforeAutospacing="0" w:afterAutospacing="0"/>
        <w:ind w:firstLine="72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0502 1520109605 521 251</w:t>
      </w:r>
      <w:r>
        <w:rPr>
          <w:rFonts w:ascii="Times New Roman" w:hAnsi="Times New Roman" w:cs="Times New Roman" w:eastAsia="Times New Roman"/>
          <w:b w:val="0"/>
          <w:i w:val="0"/>
          <w:color w:val="000000"/>
          <w:sz w:val="28"/>
          <w:szCs w:val="28"/>
        </w:rPr>
        <w:t xml:space="preserve"> субсидии на обеспечение мероприятий по модернизации систем коммунальной инфраструктуры за счет средств бюджета Пензенской области план 4 000,00 руб., планируется к освоению в 3 и 4 кварталах 2024 года. </w:t>
      </w:r>
    </w:p>
    <w:p>
      <w:pPr>
        <w:spacing w:before="0" w:after="0" w:beforeAutospacing="0" w:afterAutospacing="0"/>
        <w:ind w:firstLine="72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0502 1520109605 522 254</w:t>
      </w:r>
      <w:r>
        <w:rPr>
          <w:rFonts w:ascii="Times New Roman" w:hAnsi="Times New Roman" w:cs="Times New Roman" w:eastAsia="Times New Roman"/>
          <w:b w:val="0"/>
          <w:i w:val="0"/>
          <w:color w:val="000000"/>
          <w:sz w:val="28"/>
          <w:szCs w:val="28"/>
        </w:rPr>
        <w:t xml:space="preserve"> субсидии на обеспечение мероприятий по модернизации систем коммунальной инфраструктуры за счет средств бюджета Пензенской области план 7 890 000,00 руб., планируется к освоению в 3 и 4 кварталах 2024 года. </w:t>
      </w:r>
    </w:p>
    <w:p>
      <w:pPr>
        <w:spacing w:before="0" w:after="0" w:beforeAutospacing="0" w:afterAutospacing="0"/>
        <w:ind w:firstLine="72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0503 1530171400 521 251</w:t>
      </w:r>
      <w:r>
        <w:rPr>
          <w:rFonts w:ascii="Times New Roman" w:hAnsi="Times New Roman" w:cs="Times New Roman" w:eastAsia="Times New Roman"/>
          <w:b w:val="0"/>
          <w:i w:val="0"/>
          <w:color w:val="000000"/>
          <w:sz w:val="28"/>
          <w:szCs w:val="28"/>
        </w:rPr>
        <w:t xml:space="preserve"> в сумме 7 685 000,00 руб. субсидия на совершенствование систем наружного освещения населенных пунктов перечислено в муниципальные образования Пензенской области 3 708 058,00 руб., что составило 48,3%.</w:t>
      </w:r>
    </w:p>
    <w:p>
      <w:pPr>
        <w:spacing w:before="0" w:after="0" w:beforeAutospacing="0" w:afterAutospacing="0"/>
        <w:ind w:firstLine="72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0503 2330171420 540 251</w:t>
      </w:r>
      <w:r>
        <w:rPr>
          <w:rFonts w:ascii="Times New Roman" w:hAnsi="Times New Roman" w:cs="Times New Roman" w:eastAsia="Times New Roman"/>
          <w:b w:val="0"/>
          <w:i w:val="0"/>
          <w:color w:val="000000"/>
          <w:sz w:val="28"/>
          <w:szCs w:val="28"/>
        </w:rPr>
        <w:t xml:space="preserve"> в сумме 10 000 000,00 руб. субсидия на премирование территорий – победителей конкурса на звание «Самое благоустроенное городское (сельское) поселение Пензенской области», планируется к освоению в 3 и 4 кварталах 2024 года. </w:t>
      </w:r>
    </w:p>
    <w:p>
      <w:pPr>
        <w:spacing w:before="0" w:after="0" w:beforeAutospacing="0" w:afterAutospacing="0"/>
        <w:ind w:firstLine="72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0503 231F255550 523 251</w:t>
      </w:r>
      <w:r>
        <w:rPr>
          <w:rFonts w:ascii="Times New Roman" w:hAnsi="Times New Roman" w:cs="Times New Roman" w:eastAsia="Times New Roman"/>
          <w:b w:val="0"/>
          <w:i w:val="0"/>
          <w:color w:val="000000"/>
          <w:sz w:val="28"/>
          <w:szCs w:val="28"/>
        </w:rPr>
        <w:t xml:space="preserve"> в сумме 311 254 747,47 руб. субсидия на поддержку государственных программ субъектов Российской Федерации и муниципальных программ формирования современной городской среды, освоено 67 087 043,62 руб (21,6%). </w:t>
      </w:r>
    </w:p>
    <w:p>
      <w:pPr>
        <w:spacing w:before="0" w:after="0" w:beforeAutospacing="0" w:afterAutospacing="0"/>
        <w:ind w:firstLine="72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0503 23301R2990 521 251</w:t>
      </w:r>
      <w:r>
        <w:rPr>
          <w:rFonts w:ascii="Times New Roman" w:hAnsi="Times New Roman" w:cs="Times New Roman" w:eastAsia="Times New Roman"/>
          <w:b w:val="0"/>
          <w:i w:val="0"/>
          <w:color w:val="000000"/>
          <w:sz w:val="28"/>
          <w:szCs w:val="28"/>
        </w:rPr>
        <w:t xml:space="preserve"> субсидия на обустройство и восстановление воинских захоронений в сумме 460 000,00 руб. Освоено во 2 квартале 460 000,00 руб. (100,0%). </w:t>
      </w:r>
    </w:p>
    <w:p>
      <w:pPr>
        <w:spacing w:before="0" w:after="0" w:beforeAutospacing="0" w:afterAutospacing="0"/>
        <w:ind w:firstLine="72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 xml:space="preserve">КБК 840 0113 1420199999 244 226 </w:t>
      </w:r>
      <w:r>
        <w:rPr>
          <w:rFonts w:ascii="Times New Roman" w:hAnsi="Times New Roman" w:cs="Times New Roman" w:eastAsia="Times New Roman"/>
          <w:b w:val="0"/>
          <w:i w:val="0"/>
          <w:color w:val="000000"/>
          <w:sz w:val="28"/>
          <w:szCs w:val="28"/>
        </w:rPr>
        <w:t xml:space="preserve">реализация отдельных мероприятий запланированы на 2024 год в сумме 1 116 000,00 руб. Освоено во 2 квартале 2024 года 570 000,00 руб. (51,1%).. </w:t>
      </w:r>
    </w:p>
    <w:p>
      <w:pPr>
        <w:spacing w:before="0" w:after="0" w:beforeAutospacing="0" w:afterAutospacing="0"/>
        <w:ind w:firstLine="72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0505 231F254240 523 251</w:t>
      </w:r>
      <w:r>
        <w:rPr>
          <w:rFonts w:ascii="Times New Roman" w:hAnsi="Times New Roman" w:cs="Times New Roman" w:eastAsia="Times New Roman"/>
          <w:b w:val="0"/>
          <w:i w:val="0"/>
          <w:color w:val="000000"/>
          <w:sz w:val="28"/>
          <w:szCs w:val="28"/>
        </w:rPr>
        <w:t xml:space="preserve"> в сумме 93 055 656,57 руб. субсидия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Освоено во 2 квартале 93 055 656,57 руб. (100,0%). </w:t>
      </w:r>
    </w:p>
    <w:p>
      <w:pPr>
        <w:spacing w:before="0" w:after="0" w:beforeAutospacing="0" w:afterAutospacing="0"/>
        <w:ind w:firstLine="72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 xml:space="preserve">КБК 840 0505 1540174630 530 251 </w:t>
      </w:r>
      <w:r>
        <w:rPr>
          <w:rFonts w:ascii="Times New Roman" w:hAnsi="Times New Roman" w:cs="Times New Roman" w:eastAsia="Times New Roman"/>
          <w:b w:val="0"/>
          <w:i w:val="0"/>
          <w:color w:val="000000"/>
          <w:sz w:val="28"/>
          <w:szCs w:val="28"/>
        </w:rPr>
        <w:t>субвенции на исполнение отдельных государственных полномочий Пензенской области по региональному государственному лицензионному контролю за осуществлением предпринимательской деятельности по управлению многоквартирными домами и региональному государственному жилищному контролю (надзору) план 3 640 000,00 руб. Перечислено муниципальным образованиям 305 927,34 руб. (8,4%).</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 По </w:t>
      </w:r>
      <w:r>
        <w:rPr>
          <w:rFonts w:ascii="Times New Roman" w:hAnsi="Times New Roman" w:cs="Times New Roman" w:eastAsia="Times New Roman"/>
          <w:b w:val="1"/>
          <w:i w:val="1"/>
          <w:color w:val="000000"/>
          <w:sz w:val="28"/>
          <w:szCs w:val="28"/>
        </w:rPr>
        <w:t>КБК 840 0204 0540220100 612 241</w:t>
      </w:r>
      <w:r>
        <w:rPr>
          <w:rFonts w:ascii="Times New Roman" w:hAnsi="Times New Roman" w:cs="Times New Roman" w:eastAsia="Times New Roman"/>
          <w:b w:val="0"/>
          <w:i w:val="0"/>
          <w:color w:val="000000"/>
          <w:sz w:val="28"/>
          <w:szCs w:val="28"/>
        </w:rPr>
        <w:t xml:space="preserve"> в сумме 282 300,00 руб. мероприятия по мобилизационной готовности экономики (закупка противогазов), планируется к освоению в 3 квартале 2024 года.</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0204 0540220100 612 281</w:t>
      </w:r>
      <w:r>
        <w:rPr>
          <w:rFonts w:ascii="Times New Roman" w:hAnsi="Times New Roman" w:cs="Times New Roman" w:eastAsia="Times New Roman"/>
          <w:b w:val="0"/>
          <w:i w:val="0"/>
          <w:color w:val="000000"/>
          <w:sz w:val="28"/>
          <w:szCs w:val="28"/>
        </w:rPr>
        <w:t xml:space="preserve"> в сумме 75 000,00 руб. мероприятия по мобилизационной готовности экономики (закупка противогазов), освоено во 2 квартале 2024 года 75 000,00 руб. (100,0%).</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0310 0540264700 611 241</w:t>
      </w:r>
      <w:r>
        <w:rPr>
          <w:rFonts w:ascii="Times New Roman" w:hAnsi="Times New Roman" w:cs="Times New Roman" w:eastAsia="Times New Roman"/>
          <w:b w:val="0"/>
          <w:i w:val="0"/>
          <w:color w:val="000000"/>
          <w:sz w:val="28"/>
          <w:szCs w:val="28"/>
        </w:rPr>
        <w:t xml:space="preserve"> в сумме 15 884 400,00 руб. организация эксплуатации системы вызова экстренных оперативных служб по единому номеру «112», обеспечение приема и обработки вызовов перечислено 6 725 000,00 руб. (42,3 %).</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0310 0540465280 612 241</w:t>
      </w:r>
      <w:r>
        <w:rPr>
          <w:rFonts w:ascii="Times New Roman" w:hAnsi="Times New Roman" w:cs="Times New Roman" w:eastAsia="Times New Roman"/>
          <w:b w:val="0"/>
          <w:i w:val="0"/>
          <w:color w:val="000000"/>
          <w:sz w:val="28"/>
          <w:szCs w:val="28"/>
        </w:rPr>
        <w:t xml:space="preserve"> в сумме 360 000,00 руб. на подготовку к пропуску весеннего половодья и летне-осенних паводков освоено 360 000,00 руб. (100,0%).</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0310 0540465280 612 281</w:t>
      </w:r>
      <w:r>
        <w:rPr>
          <w:rFonts w:ascii="Times New Roman" w:hAnsi="Times New Roman" w:cs="Times New Roman" w:eastAsia="Times New Roman"/>
          <w:b w:val="0"/>
          <w:i w:val="0"/>
          <w:color w:val="000000"/>
          <w:sz w:val="28"/>
          <w:szCs w:val="28"/>
        </w:rPr>
        <w:t xml:space="preserve"> в сумме 140 000,00 руб. на подготовку к пропуску весеннего половодья и летне-осенних паводков освоено 140 000,00 руб. (100,0%).</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0310 0540165260 611 241</w:t>
      </w:r>
      <w:r>
        <w:rPr>
          <w:rFonts w:ascii="Times New Roman" w:hAnsi="Times New Roman" w:cs="Times New Roman" w:eastAsia="Times New Roman"/>
          <w:b w:val="0"/>
          <w:i w:val="0"/>
          <w:color w:val="000000"/>
          <w:sz w:val="28"/>
          <w:szCs w:val="28"/>
        </w:rPr>
        <w:t xml:space="preserve"> по подпрограмме «Снижение рисков и смягчение последствий чрезвычайных ситуаций природного и техногенного характера и обеспечение пожарной безопасности Пензенской области» в рамках государственной программы Пензенской области «Защита населения и территорий от чрезвычайных ситуаций, обеспечение пожарной безопасности в Пензенской области на 2014 - 2024 годы» на выполнение госзадания ГУ «ППСЦ» из плановых лимитов в сумме 219 470 300,00 руб. перечислено 106 222 668,58  руб. или 48,4%. </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0309 0540165260 611 241</w:t>
      </w:r>
      <w:r>
        <w:rPr>
          <w:rFonts w:ascii="Times New Roman" w:hAnsi="Times New Roman" w:cs="Times New Roman" w:eastAsia="Times New Roman"/>
          <w:b w:val="0"/>
          <w:i w:val="0"/>
          <w:color w:val="000000"/>
          <w:sz w:val="28"/>
          <w:szCs w:val="28"/>
        </w:rPr>
        <w:t xml:space="preserve"> предупреждение и ликвидация последствий чрезвычайных ситуаций и стихийных бедствий природного и техногенного характера на выполнение госзадания ГУ «ППСЦ» запланировано 427 000,00 руб., исполнено 182 610,00 руб. (42,8%).</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4"/>
          <w:szCs w:val="24"/>
        </w:rPr>
        <w:t> </w:t>
      </w: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 xml:space="preserve">КБК 840 0310 0540165310 612 241 </w:t>
      </w:r>
      <w:r>
        <w:rPr>
          <w:rFonts w:ascii="Times New Roman" w:hAnsi="Times New Roman" w:cs="Times New Roman" w:eastAsia="Times New Roman"/>
          <w:b w:val="0"/>
          <w:i w:val="0"/>
          <w:color w:val="000000"/>
          <w:sz w:val="28"/>
          <w:szCs w:val="28"/>
        </w:rPr>
        <w:t>участие ГБУ «Пензенский пожарно-спасательный центр» в реализации специального инфраструктурного проекта и иных проектов выделено 45 350 674,59 руб., освоено 26 623 786,32 руб. (58,7%).</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 xml:space="preserve">КБК 840 0310 0540165260 612 281 </w:t>
      </w:r>
      <w:r>
        <w:rPr>
          <w:rFonts w:ascii="Times New Roman" w:hAnsi="Times New Roman" w:cs="Times New Roman" w:eastAsia="Times New Roman"/>
          <w:b w:val="0"/>
          <w:i w:val="0"/>
          <w:color w:val="000000"/>
          <w:sz w:val="28"/>
          <w:szCs w:val="28"/>
        </w:rPr>
        <w:t>по подпрограмме «Снижение рисков и смягчение последствий чрезвычайных ситуаций природного и техногенного характера и обеспечение пожарной безопасности Пензенской области» в рамках государственной программы Пензенской области «Защита населения и территорий от чрезвычайных ситуаций, обеспечение пожарной безопасности в Пензенской области на 2014 - 2024 годы» (территория ДНР и ЛНР) выделено 3 168 000,00 руб., освоено 3 168 000,00 руб. (100,0%).</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0310 0540164730 612 241</w:t>
      </w:r>
      <w:r>
        <w:rPr>
          <w:rFonts w:ascii="Times New Roman" w:hAnsi="Times New Roman" w:cs="Times New Roman" w:eastAsia="Times New Roman"/>
          <w:b w:val="0"/>
          <w:i w:val="0"/>
          <w:color w:val="000000"/>
          <w:sz w:val="28"/>
          <w:szCs w:val="28"/>
        </w:rPr>
        <w:t xml:space="preserve"> в сумме 2 970 000,00 руб. на ежемесячную денежную выплату спасателям планируется к освоению по мере достижения спасателями соответствующего стажа, дающего право на получение выплаты, перечислено - 1 443 150,00 руб. или 48,6%.</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0204 0540465300 612 241</w:t>
      </w:r>
      <w:r>
        <w:rPr>
          <w:rFonts w:ascii="Times New Roman" w:hAnsi="Times New Roman" w:cs="Times New Roman" w:eastAsia="Times New Roman"/>
          <w:b w:val="0"/>
          <w:i w:val="0"/>
          <w:color w:val="000000"/>
          <w:sz w:val="28"/>
          <w:szCs w:val="28"/>
        </w:rPr>
        <w:t xml:space="preserve"> создание, восполнение резервов материальных ресурсов Пензенской области для ликвидации чрезвычайных ситуаций межмуниципального и регионального характера в сумме 200,00 руб., исполнено на 100,0% (200,00 руб.).</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0310 0540465330 612 241</w:t>
      </w:r>
      <w:r>
        <w:rPr>
          <w:rFonts w:ascii="Times New Roman" w:hAnsi="Times New Roman" w:cs="Times New Roman" w:eastAsia="Times New Roman"/>
          <w:b w:val="0"/>
          <w:i w:val="0"/>
          <w:color w:val="000000"/>
          <w:sz w:val="28"/>
          <w:szCs w:val="28"/>
        </w:rPr>
        <w:t xml:space="preserve"> проведение областного смотра-конкурса на звание «Лучший добровольный пожарный Пензенской области» план 103 960,00 руб., освоение планируется при проведении конкурса в 3 квартале 2024 года.</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0310 0540164480 612 281</w:t>
      </w:r>
      <w:r>
        <w:rPr>
          <w:rFonts w:ascii="Times New Roman" w:hAnsi="Times New Roman" w:cs="Times New Roman" w:eastAsia="Times New Roman"/>
          <w:b w:val="0"/>
          <w:i w:val="0"/>
          <w:color w:val="000000"/>
          <w:sz w:val="28"/>
          <w:szCs w:val="28"/>
        </w:rPr>
        <w:t xml:space="preserve"> Приобретение спецтехники и оборудования для эффективности выполнения задач в области гражданской обороны, защиты населения и территорий от чрезвычайных ситуаций, обеспечения пожарной безопасности, обучения населения по гражданской обороне, приема и обработки вызовов по номеру «112» план 1 090 000,00 руб. Освоение планируется в 3 и 4 кварталах 2024 года.</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0502 0221ПR4870 540 251</w:t>
      </w:r>
      <w:r>
        <w:rPr>
          <w:rFonts w:ascii="Times New Roman" w:hAnsi="Times New Roman" w:cs="Times New Roman" w:eastAsia="Times New Roman"/>
          <w:b w:val="0"/>
          <w:i w:val="0"/>
          <w:color w:val="000000"/>
          <w:sz w:val="28"/>
          <w:szCs w:val="28"/>
        </w:rPr>
        <w:t xml:space="preserve"> Реализация пилотного проекта, направленного на стимулирование рождаемости план 32 608 695,65 руб. Освоение планируется в 3 и 4 кварталах 2024 года.</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0502 0221ПR4870 540 254</w:t>
      </w:r>
      <w:r>
        <w:rPr>
          <w:rFonts w:ascii="Times New Roman" w:hAnsi="Times New Roman" w:cs="Times New Roman" w:eastAsia="Times New Roman"/>
          <w:b w:val="0"/>
          <w:i w:val="0"/>
          <w:color w:val="000000"/>
          <w:sz w:val="28"/>
          <w:szCs w:val="28"/>
        </w:rPr>
        <w:t xml:space="preserve"> Реализация пилотного проекта, направленного на стимулирование рождаемости план 70 652 173,91 руб. Освоение планируется в 3 и 4 кварталах 2024 года.</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0502 0221ПR4870 540 251</w:t>
      </w:r>
      <w:r>
        <w:rPr>
          <w:rFonts w:ascii="Times New Roman" w:hAnsi="Times New Roman" w:cs="Times New Roman" w:eastAsia="Times New Roman"/>
          <w:b w:val="0"/>
          <w:i w:val="0"/>
          <w:color w:val="000000"/>
          <w:sz w:val="28"/>
          <w:szCs w:val="28"/>
        </w:rPr>
        <w:t xml:space="preserve"> Реализация пилотного проекта, направленного на стимулирование рождаемости план 154 347 826,09 руб. Освоение планируется в 3 и 4 кварталах 2024 года.</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В рамках реализации Федерального закона от 21.07.2007 № 185-ФЗ «О Фонде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 </w:t>
      </w:r>
      <w:r>
        <w:rPr>
          <w:rFonts w:ascii="Times New Roman" w:hAnsi="Times New Roman" w:cs="Times New Roman" w:eastAsia="Times New Roman"/>
          <w:b w:val="1"/>
          <w:i w:val="1"/>
          <w:color w:val="000000"/>
          <w:sz w:val="28"/>
          <w:szCs w:val="28"/>
        </w:rPr>
        <w:t>КБК 840 0501 151F367484 522 254</w:t>
      </w:r>
      <w:r>
        <w:rPr>
          <w:rFonts w:ascii="Times New Roman" w:hAnsi="Times New Roman" w:cs="Times New Roman" w:eastAsia="Times New Roman"/>
          <w:b w:val="0"/>
          <w:i w:val="0"/>
          <w:color w:val="000000"/>
          <w:sz w:val="28"/>
          <w:szCs w:val="28"/>
        </w:rPr>
        <w:t xml:space="preserve"> за счет средств бюджета Пензенской области запланировано на год 5 203 716,69 руб. Перечислено 4 180 197,23 руб. или 80,3%.</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 </w:t>
      </w:r>
      <w:r>
        <w:rPr>
          <w:rFonts w:ascii="Times New Roman" w:hAnsi="Times New Roman" w:cs="Times New Roman" w:eastAsia="Times New Roman"/>
          <w:b w:val="1"/>
          <w:i w:val="1"/>
          <w:color w:val="000000"/>
          <w:sz w:val="28"/>
          <w:szCs w:val="28"/>
        </w:rPr>
        <w:t>КБК 840 0501 151F367483 522 254</w:t>
      </w:r>
      <w:r>
        <w:rPr>
          <w:rFonts w:ascii="Times New Roman" w:hAnsi="Times New Roman" w:cs="Times New Roman" w:eastAsia="Times New Roman"/>
          <w:b w:val="0"/>
          <w:i w:val="0"/>
          <w:color w:val="000000"/>
          <w:sz w:val="28"/>
          <w:szCs w:val="28"/>
        </w:rPr>
        <w:t xml:space="preserve"> за счет средств Фонда запланировано на год 515 168 394,96 руб. Перечислено 413 840 020,09 руб. или 80,3%.</w:t>
      </w:r>
    </w:p>
    <w:p>
      <w:pPr>
        <w:spacing w:before="0" w:after="0" w:beforeAutospacing="0" w:afterAutospacing="0"/>
        <w:ind w:firstLine="70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0505 1540166210 633 246</w:t>
      </w:r>
      <w:r>
        <w:rPr>
          <w:rFonts w:ascii="Times New Roman" w:hAnsi="Times New Roman" w:cs="Times New Roman" w:eastAsia="Times New Roman"/>
          <w:b w:val="0"/>
          <w:i w:val="0"/>
          <w:color w:val="000000"/>
          <w:sz w:val="28"/>
          <w:szCs w:val="28"/>
        </w:rPr>
        <w:t xml:space="preserve"> имущественный взнос Пензенской области в некоммерческую организацию «Региональный фонд капитального ремонта многоквартирных домов Пензенской области» в отчетном периоде перечислен на сумму 24 874 104,72 руб. или 48,7% от годового объема в сумме 51 040 100,00 руб.</w:t>
      </w:r>
    </w:p>
    <w:p>
      <w:pPr>
        <w:spacing w:before="0" w:after="0" w:beforeAutospacing="0" w:afterAutospacing="0"/>
        <w:ind w:firstLine="70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0113 9930020500 244 349</w:t>
      </w:r>
      <w:r>
        <w:rPr>
          <w:rFonts w:ascii="Times New Roman" w:hAnsi="Times New Roman" w:cs="Times New Roman" w:eastAsia="Times New Roman"/>
          <w:b w:val="0"/>
          <w:i w:val="0"/>
          <w:color w:val="000000"/>
          <w:sz w:val="28"/>
          <w:szCs w:val="28"/>
        </w:rPr>
        <w:t xml:space="preserve"> резервный фонд Правительства Пензенской области освоено 1 370 670,00 руб. при плане 1 370 670,00 руб. (100,0%).</w:t>
      </w:r>
    </w:p>
    <w:p>
      <w:pPr>
        <w:spacing w:before="0" w:after="0" w:beforeAutospacing="0" w:afterAutospacing="0"/>
        <w:ind w:firstLine="70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0502 9930020500 244 310</w:t>
      </w:r>
      <w:r>
        <w:rPr>
          <w:rFonts w:ascii="Times New Roman" w:hAnsi="Times New Roman" w:cs="Times New Roman" w:eastAsia="Times New Roman"/>
          <w:b w:val="0"/>
          <w:i w:val="0"/>
          <w:color w:val="000000"/>
          <w:sz w:val="28"/>
          <w:szCs w:val="28"/>
        </w:rPr>
        <w:t xml:space="preserve"> резервный фонд Правительства Пензенской области освоено 2 122 258,00 руб. при плане 2 122 258,00 руб. (100,0%).</w:t>
      </w:r>
    </w:p>
    <w:p>
      <w:pPr>
        <w:spacing w:before="0" w:after="0" w:beforeAutospacing="0" w:afterAutospacing="0"/>
        <w:ind w:firstLine="70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0502 9930020500 244 349</w:t>
      </w:r>
      <w:r>
        <w:rPr>
          <w:rFonts w:ascii="Times New Roman" w:hAnsi="Times New Roman" w:cs="Times New Roman" w:eastAsia="Times New Roman"/>
          <w:b w:val="0"/>
          <w:i w:val="0"/>
          <w:color w:val="000000"/>
          <w:sz w:val="28"/>
          <w:szCs w:val="28"/>
        </w:rPr>
        <w:t xml:space="preserve"> резервный фонд Правительства Пензенской области освоено 2 983 696,30 руб. при плане 2 983 696,30 руб. (100,0%).</w:t>
      </w:r>
    </w:p>
    <w:p>
      <w:pPr>
        <w:spacing w:before="0" w:after="0" w:beforeAutospacing="0" w:afterAutospacing="0"/>
        <w:ind w:firstLine="700" w:left="0" w:right="0"/>
        <w:jc w:val="both"/>
        <w:outlineLvl w:val="9"/>
      </w:pPr>
      <w:r>
        <w:rPr>
          <w:rFonts w:ascii="Times New Roman" w:hAnsi="Times New Roman" w:cs="Times New Roman" w:eastAsia="Times New Roman"/>
          <w:b w:val="0"/>
          <w:i w:val="0"/>
          <w:color w:val="000000"/>
          <w:sz w:val="28"/>
          <w:szCs w:val="28"/>
        </w:rPr>
        <w:t xml:space="preserve">По КБК </w:t>
      </w:r>
      <w:r>
        <w:rPr>
          <w:rFonts w:ascii="Times New Roman" w:hAnsi="Times New Roman" w:cs="Times New Roman" w:eastAsia="Times New Roman"/>
          <w:b w:val="1"/>
          <w:i w:val="1"/>
          <w:color w:val="000000"/>
          <w:sz w:val="28"/>
          <w:szCs w:val="28"/>
        </w:rPr>
        <w:t>840 0502 9930020500 540 251</w:t>
      </w:r>
      <w:r>
        <w:rPr>
          <w:rFonts w:ascii="Times New Roman" w:hAnsi="Times New Roman" w:cs="Times New Roman" w:eastAsia="Times New Roman"/>
          <w:b w:val="0"/>
          <w:i w:val="0"/>
          <w:color w:val="000000"/>
          <w:sz w:val="28"/>
          <w:szCs w:val="28"/>
        </w:rPr>
        <w:t xml:space="preserve"> резервный фонд Правительства Пензенской области план 47 306 402,42 руб. Перечислено по восстановительным работам 12 989 355,99 руб. (27,5%).</w:t>
      </w:r>
    </w:p>
    <w:p>
      <w:pPr>
        <w:spacing w:before="0" w:after="0" w:beforeAutospacing="0" w:afterAutospacing="0"/>
        <w:ind w:firstLine="70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0503 9930020500 244 349</w:t>
      </w:r>
      <w:r>
        <w:rPr>
          <w:rFonts w:ascii="Times New Roman" w:hAnsi="Times New Roman" w:cs="Times New Roman" w:eastAsia="Times New Roman"/>
          <w:b w:val="0"/>
          <w:i w:val="0"/>
          <w:color w:val="000000"/>
          <w:sz w:val="28"/>
          <w:szCs w:val="28"/>
        </w:rPr>
        <w:t xml:space="preserve"> резервный фонд Правительства Пензенской области освоено 7 024 214,60 руб. при плане 7 024 214,60 руб. (100,0%).</w:t>
      </w:r>
    </w:p>
    <w:p>
      <w:pPr>
        <w:spacing w:before="0" w:after="0" w:beforeAutospacing="0" w:afterAutospacing="0"/>
        <w:ind w:firstLine="70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0503 9930020500 244 310</w:t>
      </w:r>
      <w:r>
        <w:rPr>
          <w:rFonts w:ascii="Times New Roman" w:hAnsi="Times New Roman" w:cs="Times New Roman" w:eastAsia="Times New Roman"/>
          <w:b w:val="0"/>
          <w:i w:val="0"/>
          <w:color w:val="000000"/>
          <w:sz w:val="28"/>
          <w:szCs w:val="28"/>
        </w:rPr>
        <w:t xml:space="preserve"> резервный фонд Правительства Пензенской области освоено 1 768 443,50 руб. при плане 1 768 443,50 руб. (100,0%).</w:t>
      </w:r>
    </w:p>
    <w:p>
      <w:pPr>
        <w:spacing w:before="0" w:after="0" w:beforeAutospacing="0" w:afterAutospacing="0"/>
        <w:ind w:firstLine="720" w:left="0" w:right="0"/>
        <w:jc w:val="both"/>
        <w:outlineLvl w:val="9"/>
      </w:pPr>
      <w:r>
        <w:rPr>
          <w:rFonts w:ascii="Calibri" w:hAnsi="Calibri" w:cs="Calibri" w:eastAsia="Calibri"/>
          <w:b w:val="0"/>
          <w:i w:val="0"/>
          <w:color w:val="000000"/>
          <w:sz w:val="22"/>
          <w:szCs w:val="22"/>
        </w:rPr>
        <w:t> </w:t>
      </w: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0310 8030021210 321 262</w:t>
      </w:r>
      <w:r>
        <w:rPr>
          <w:rFonts w:ascii="Times New Roman" w:hAnsi="Times New Roman" w:cs="Times New Roman" w:eastAsia="Times New Roman"/>
          <w:b w:val="0"/>
          <w:i w:val="0"/>
          <w:color w:val="000000"/>
          <w:sz w:val="28"/>
          <w:szCs w:val="28"/>
        </w:rPr>
        <w:t xml:space="preserve"> расходы на реализацию постановления Правительства Пензенской области от 04.07.2012 № 480-пП «О мерах по реализации Закона Пензенской области от 10.10.2011 № 2126-ЗПО «О некоторых вопросах, связанных с реализацией в Пензенской области Федерального закона от 6 мая 2011 года № 100-ФЗ «О добровольной пожарной охране» план 50 000,00 руб. планируются к освоению по факту предоставления заявок на выплаты.</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 xml:space="preserve">КБК 840 0505 1540120630 244 226 </w:t>
      </w:r>
      <w:r>
        <w:rPr>
          <w:rFonts w:ascii="Times New Roman" w:hAnsi="Times New Roman" w:cs="Times New Roman" w:eastAsia="Times New Roman"/>
          <w:b w:val="0"/>
          <w:i w:val="0"/>
          <w:color w:val="000000"/>
          <w:sz w:val="28"/>
          <w:szCs w:val="28"/>
        </w:rPr>
        <w:t>обеспечение деятельности межведомственной комиссии при Правительстве Пензенской области по оценке жилых помещений жилищного фонда Пензенской области, а также иных жилых помещений, созданной на основании Постановления Правительства Пензенской области от 15.02.2017 № 71-пП, в целях проведения дополнительного обследования помещений специализированной организацией, в рамках рассмотрения обращений граждан в сумме 500 000,00 руб. Планируются к освоению по факту.</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 xml:space="preserve">КБК 840 0505 8030098720 244 226 </w:t>
      </w:r>
      <w:r>
        <w:rPr>
          <w:rFonts w:ascii="Times New Roman" w:hAnsi="Times New Roman" w:cs="Times New Roman" w:eastAsia="Times New Roman"/>
          <w:b w:val="0"/>
          <w:i w:val="0"/>
          <w:color w:val="000000"/>
          <w:sz w:val="28"/>
          <w:szCs w:val="28"/>
        </w:rPr>
        <w:t>прочие расходы, связанные с оплатой услуг по предоставлению информации населению через средства массовой информации - 5 500,00 руб. Освоение планируется в 3 и 4 кварталах 2024 года.</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w:t>
      </w:r>
    </w:p>
    <w:p>
      <w:pPr>
        <w:spacing w:before="0" w:after="0" w:beforeAutospacing="0" w:afterAutospacing="0"/>
        <w:ind w:firstLine="540" w:left="0" w:right="0"/>
        <w:jc w:val="center"/>
        <w:outlineLvl w:val="9"/>
      </w:pPr>
      <w:r>
        <w:rPr>
          <w:rFonts w:ascii="Times New Roman" w:hAnsi="Times New Roman" w:cs="Times New Roman" w:eastAsia="Times New Roman"/>
          <w:b w:val="1"/>
          <w:i w:val="0"/>
          <w:color w:val="000000"/>
          <w:sz w:val="28"/>
          <w:szCs w:val="28"/>
        </w:rPr>
        <w:t>4. Анализ показателей бухгалтерской отчетности субъекта бюджетной отчетности</w:t>
      </w:r>
    </w:p>
    <w:p>
      <w:pPr>
        <w:spacing w:before="0" w:after="0" w:beforeAutospacing="0" w:afterAutospacing="0"/>
        <w:ind w:firstLine="540" w:left="0" w:right="0"/>
        <w:jc w:val="center"/>
        <w:outlineLvl w:val="9"/>
      </w:pPr>
      <w:r>
        <w:rPr>
          <w:rFonts w:ascii="Times New Roman" w:hAnsi="Times New Roman" w:cs="Times New Roman" w:eastAsia="Times New Roman"/>
          <w:b w:val="1"/>
          <w:i w:val="0"/>
          <w:color w:val="000000"/>
          <w:sz w:val="28"/>
          <w:szCs w:val="28"/>
        </w:rPr>
        <w:t> </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По состоянию на 01.07.2024г. дебиторская задолженность по Министерству составила  365 241 131,63 руб., в том числе:</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дебиторская задолженность по доходам в сумме 249 567 050,35 руб., в т.ч. просроченная - 7 328 996,88 руб.</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w:t>
      </w:r>
    </w:p>
    <w:tbl>
      <w:tblPr>
        <w:tblW w:w="13770" w:type="dxa"/>
        <w:tblInd w:w="-332" w:type="dxa"/>
        <w:tblBorders>
          <w:top w:val="none" w:sz="0" w:space="0" w:shadow="0" w:frame="0" w:color="000000"/>
          <w:left w:val="none" w:sz="0" w:space="0" w:shadow="0" w:frame="0" w:color="000000"/>
          <w:bottom w:val="none" w:sz="0" w:space="0" w:shadow="0" w:frame="0" w:color="000000"/>
          <w:right w:val="none" w:sz="0" w:space="0" w:shadow="0" w:frame="0" w:color="000000"/>
          <w:insideH w:val="none" w:sz="0" w:space="0" w:shadow="0" w:frame="0" w:color="auto"/>
          <w:insideV w:val="none" w:sz="0" w:space="0" w:shadow="0" w:frame="0" w:color="auto"/>
        </w:tblBorders>
        <w:tblLayout w:type="autofit"/>
        <w:tblCellMar>
          <w:top w:w="0" w:type="dxa"/>
          <w:left w:w="0" w:type="dxa"/>
          <w:bottom w:w="0" w:type="dxa"/>
          <w:right w:w="0" w:type="dxa"/>
        </w:tblCellMar>
      </w:tblPr>
      <w:tblGrid/>
      <w:tr>
        <w:tc>
          <w:tcPr>
            <w:tcW w:w="276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8"/>
                <w:szCs w:val="28"/>
              </w:rPr>
              <w:t>  </w:t>
            </w:r>
            <w:r>
              <w:rPr>
                <w:rFonts w:ascii="Times New Roman" w:hAnsi="Times New Roman" w:cs="Times New Roman" w:eastAsia="Times New Roman"/>
                <w:b w:val="0"/>
                <w:i w:val="0"/>
                <w:color w:val="000000"/>
                <w:sz w:val="24"/>
                <w:szCs w:val="24"/>
              </w:rPr>
              <w:t> </w:t>
            </w:r>
            <w:r>
              <w:rPr>
                <w:rFonts w:ascii="Times New Roman" w:hAnsi="Times New Roman" w:cs="Times New Roman" w:eastAsia="Times New Roman"/>
                <w:b w:val="1"/>
                <w:i w:val="0"/>
                <w:color w:val="000000"/>
                <w:sz w:val="24"/>
                <w:szCs w:val="24"/>
              </w:rPr>
              <w:t>Вид задолженности</w:t>
            </w:r>
          </w:p>
        </w:tc>
        <w:tc>
          <w:tcPr>
            <w:tcW w:w="1708"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1"/>
                <w:i w:val="0"/>
                <w:color w:val="000000"/>
                <w:sz w:val="24"/>
                <w:szCs w:val="24"/>
              </w:rPr>
              <w:t>Количество контрагентов</w:t>
            </w:r>
          </w:p>
        </w:tc>
        <w:tc>
          <w:tcPr>
            <w:tcW w:w="1501"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1"/>
                <w:i w:val="0"/>
                <w:color w:val="000000"/>
                <w:sz w:val="24"/>
                <w:szCs w:val="24"/>
              </w:rPr>
              <w:t>Сумма, руб.</w:t>
            </w:r>
          </w:p>
        </w:tc>
        <w:tc>
          <w:tcPr>
            <w:tcW w:w="2573"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1"/>
                <w:i w:val="0"/>
                <w:color w:val="000000"/>
                <w:sz w:val="24"/>
                <w:szCs w:val="24"/>
              </w:rPr>
              <w:t>Причина образования</w:t>
            </w:r>
          </w:p>
        </w:tc>
        <w:tc>
          <w:tcPr>
            <w:tcW w:w="522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1"/>
                <w:i w:val="0"/>
                <w:color w:val="000000"/>
                <w:sz w:val="24"/>
                <w:szCs w:val="24"/>
              </w:rPr>
              <w:t>Принимаемые меры</w:t>
            </w:r>
          </w:p>
        </w:tc>
      </w:tr>
      <w:tr>
        <w:trPr>
          <w:trHeight w:hRule="atLeast" w:val="1787"/>
        </w:trPr>
        <w:tc>
          <w:tcPr>
            <w:tcW w:w="276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КБК 84011601072010233140</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(ст. 7.22 Нарушение правил содержания и ремонта жилых домов и (или) жилых помещений)</w:t>
            </w:r>
          </w:p>
        </w:tc>
        <w:tc>
          <w:tcPr>
            <w:tcW w:w="1708"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18</w:t>
            </w:r>
          </w:p>
        </w:tc>
        <w:tc>
          <w:tcPr>
            <w:tcW w:w="1501"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547 463,61</w:t>
            </w:r>
          </w:p>
        </w:tc>
        <w:tc>
          <w:tcPr>
            <w:tcW w:w="2573" w:type="dxa"/>
            <w:vMerge w:val="restart"/>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Не оплата вовремя по вынесенным Министерством постановлениям , неплатежеспособность должников</w:t>
            </w:r>
          </w:p>
        </w:tc>
        <w:tc>
          <w:tcPr>
            <w:tcW w:w="522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составлены протоколы по ст. 20.25 КоАП РФ и  направлены судебным приставам;</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Министерством проводится работа по контролю за ходом исполнительных производств, направляются запросы в отделы УФССП по Пензенской области;</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по обращениям Министерства в рамках исполнительных производств обновлены запросы в регистрирующие органы и кредитные организации;  </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xml:space="preserve">- одному должнику вынесено постановление о временном  ограничении на выезд из РФ; </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xml:space="preserve">- сформировано сводное исполнительное производство; </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службой судебных приставов проводится работа по взысканию задолженности в соответствии с законом об исполнительном производстве № 229-ФЗ от 02.10.2007г. (по направленным Министерством протоколам);</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в 2024 году взысканы</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просроченные штрафы на сумму 1,5 тыс.руб. (за 2023 год);</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увеличение просроченной дебиторской задолженности в 2024 году по вновь вынесенным постановлениям на сумму 9,5 тыс. руб.</w:t>
            </w:r>
          </w:p>
        </w:tc>
      </w:tr>
      <w:tr>
        <w:trPr>
          <w:trHeight w:hRule="atLeast" w:val="7894"/>
        </w:trPr>
        <w:tc>
          <w:tcPr>
            <w:tcW w:w="276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left"/>
              <w:outlineLvl w:val="0"/>
              <w:rPr>
                <w:b w:val="1"/>
                <w:sz w:val="48"/>
              </w:rPr>
            </w:pPr>
            <w:r>
              <w:rPr>
                <w:rFonts w:ascii="Times New Roman" w:hAnsi="Times New Roman" w:cs="Times New Roman" w:eastAsia="Times New Roman"/>
                <w:b w:val="0"/>
                <w:i w:val="0"/>
                <w:color w:val="000000"/>
                <w:sz w:val="24"/>
                <w:szCs w:val="24"/>
              </w:rPr>
              <w:t>КБК 84011601072019000140</w:t>
            </w:r>
          </w:p>
          <w:p>
            <w:pPr>
              <w:spacing w:before="0" w:after="0" w:beforeAutospacing="0" w:afterAutospacing="0"/>
              <w:ind w:firstLine="0" w:left="0" w:right="0"/>
              <w:jc w:val="left"/>
              <w:outlineLvl w:val="0"/>
              <w:rPr>
                <w:b w:val="1"/>
                <w:sz w:val="48"/>
              </w:rPr>
            </w:pPr>
            <w:r>
              <w:rPr>
                <w:rFonts w:ascii="Times New Roman" w:hAnsi="Times New Roman" w:cs="Times New Roman" w:eastAsia="Times New Roman"/>
                <w:b w:val="0"/>
                <w:i w:val="0"/>
                <w:color w:val="000000"/>
                <w:sz w:val="24"/>
                <w:szCs w:val="24"/>
              </w:rPr>
              <w:t>(ст. 7.23 КоАП РФ Нарушение нормативов обеспечения населения коммунальными услугами)</w:t>
            </w:r>
          </w:p>
          <w:p>
            <w:pPr>
              <w:spacing w:before="0" w:after="0" w:beforeAutospacing="0" w:afterAutospacing="0"/>
              <w:ind w:firstLine="0" w:left="0" w:right="0"/>
              <w:jc w:val="both"/>
            </w:pPr>
            <w:r>
              <w:rPr>
                <w:rFonts w:ascii="Times New Roman" w:hAnsi="Times New Roman" w:cs="Times New Roman" w:eastAsia="Times New Roman"/>
                <w:b w:val="0"/>
                <w:i w:val="0"/>
                <w:color w:val="000000"/>
                <w:sz w:val="28"/>
                <w:szCs w:val="28"/>
              </w:rPr>
              <w:t> </w:t>
            </w:r>
          </w:p>
        </w:tc>
        <w:tc>
          <w:tcPr>
            <w:tcW w:w="1708"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15</w:t>
            </w:r>
          </w:p>
        </w:tc>
        <w:tc>
          <w:tcPr>
            <w:tcW w:w="1501"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179 555,49</w:t>
            </w:r>
          </w:p>
        </w:tc>
        <w:tc>
          <w:tcPr>
            <w:tcW w:w="2573" w:type="dxa"/>
            <w:vMerge w:val="continue"/>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ind w:left="0" w:right="0"/>
              <w:rPr>
                <w:sz w:val="24"/>
              </w:rPr>
            </w:pPr>
          </w:p>
        </w:tc>
        <w:tc>
          <w:tcPr>
            <w:tcW w:w="522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w:t>
            </w:r>
            <w:r>
              <w:rPr>
                <w:rFonts w:ascii="Times New Roman" w:hAnsi="Times New Roman" w:cs="Times New Roman" w:eastAsia="Times New Roman"/>
                <w:b w:val="0"/>
                <w:i w:val="0"/>
                <w:color w:val="FF0000"/>
                <w:sz w:val="24"/>
                <w:szCs w:val="24"/>
              </w:rPr>
              <w:t xml:space="preserve"> </w:t>
            </w:r>
            <w:r>
              <w:rPr>
                <w:rFonts w:ascii="Times New Roman" w:hAnsi="Times New Roman" w:cs="Times New Roman" w:eastAsia="Times New Roman"/>
                <w:b w:val="0"/>
                <w:i w:val="0"/>
                <w:color w:val="000000"/>
                <w:sz w:val="24"/>
                <w:szCs w:val="24"/>
              </w:rPr>
              <w:t>составлены протоколы по ст. 20.25 КоАП РФ и  направлены судебным приставам;</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Министерством проводится работа по контролю за ходом исполнительных производств, направляются запросы в отделы УФССП по Пензенской области;</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по обращениям Министерства в рамках исполнительных производств обновлены запросы в регистрирующие органы и кредитные организации;  </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xml:space="preserve">- одному должнику вынесено постановление о временном  ограничении на выезд из РФ, </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xml:space="preserve"> - сформировано сводное исполнительное производство; </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службой судебных приставов проводится работа по взысканию задолженности в соответствии с законом об исполнительном производстве № 229-ФЗ от 02.10.2007г. (по направленным Министерством протоколам);</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в 2024 году взысканы просроченные штрафы на сумму 0,6 тыс. руб. (за 2022-2023 годы);</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увеличение просроченной дебиторской задолженности в 2024 году по вновь вынесенным постановлениям на сумму 2,2 тыс.руб.</w:t>
            </w:r>
          </w:p>
        </w:tc>
      </w:tr>
      <w:tr>
        <w:tc>
          <w:tcPr>
            <w:tcW w:w="276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left"/>
              <w:outlineLvl w:val="0"/>
              <w:rPr>
                <w:b w:val="1"/>
                <w:sz w:val="48"/>
              </w:rPr>
            </w:pPr>
            <w:r>
              <w:rPr>
                <w:rFonts w:ascii="Times New Roman" w:hAnsi="Times New Roman" w:cs="Times New Roman" w:eastAsia="Times New Roman"/>
                <w:b w:val="0"/>
                <w:i w:val="0"/>
                <w:color w:val="000000"/>
                <w:sz w:val="24"/>
                <w:szCs w:val="24"/>
              </w:rPr>
              <w:t>КБК 84011601092019000140</w:t>
            </w:r>
          </w:p>
          <w:p>
            <w:pPr>
              <w:spacing w:before="0" w:after="0" w:beforeAutospacing="0" w:afterAutospacing="0"/>
              <w:ind w:firstLine="0" w:left="0" w:right="0"/>
              <w:jc w:val="left"/>
              <w:outlineLvl w:val="0"/>
              <w:rPr>
                <w:b w:val="1"/>
                <w:sz w:val="48"/>
              </w:rPr>
            </w:pPr>
            <w:r>
              <w:rPr>
                <w:rFonts w:ascii="Times New Roman" w:hAnsi="Times New Roman" w:cs="Times New Roman" w:eastAsia="Times New Roman"/>
                <w:b w:val="0"/>
                <w:i w:val="0"/>
                <w:color w:val="000000"/>
                <w:sz w:val="24"/>
                <w:szCs w:val="24"/>
              </w:rPr>
              <w:t>(ст. 9.23. Нарушение правил обеспечения безопасного использования и содержания внутридомового и внутриквартирного газового оборудования)</w:t>
            </w:r>
          </w:p>
          <w:p>
            <w:pPr>
              <w:spacing w:before="0" w:after="0" w:beforeAutospacing="0" w:afterAutospacing="0"/>
              <w:ind w:firstLine="0" w:left="0" w:right="0"/>
              <w:jc w:val="both"/>
            </w:pPr>
            <w:r>
              <w:rPr>
                <w:rFonts w:ascii="Times New Roman" w:hAnsi="Times New Roman" w:cs="Times New Roman" w:eastAsia="Times New Roman"/>
                <w:b w:val="0"/>
                <w:i w:val="0"/>
                <w:color w:val="000000"/>
                <w:sz w:val="28"/>
                <w:szCs w:val="28"/>
              </w:rPr>
              <w:t> </w:t>
            </w:r>
          </w:p>
        </w:tc>
        <w:tc>
          <w:tcPr>
            <w:tcW w:w="1708"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23</w:t>
            </w:r>
          </w:p>
        </w:tc>
        <w:tc>
          <w:tcPr>
            <w:tcW w:w="1501"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23 000,00</w:t>
            </w:r>
          </w:p>
        </w:tc>
        <w:tc>
          <w:tcPr>
            <w:tcW w:w="2573" w:type="dxa"/>
            <w:vMerge w:val="continue"/>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ind w:left="0" w:right="0"/>
            </w:pPr>
          </w:p>
        </w:tc>
        <w:tc>
          <w:tcPr>
            <w:tcW w:w="522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по обращениям Министерства в рамках исполнительных производств обновлены запросы в регистрирующие органы и кредитные организации;  </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службой судебных приставов проводится работа по взысканию задолженности в соответствии с законом об исполнительном производстве № 229-ФЗ от 02.10.2007г. (по направленным Министерством протоколам);</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в 2024 году взысканы  просроченные штрафы на сумму 2,0 тыс. руб. (за 2022 год)</w:t>
            </w:r>
          </w:p>
        </w:tc>
      </w:tr>
      <w:tr>
        <w:tc>
          <w:tcPr>
            <w:tcW w:w="276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КБК 84011601142019002140</w:t>
            </w:r>
          </w:p>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(ст. 14.1.3 КоАП РФ Осуществление предпринимательской деятельности по управлению многоквартирными домами без лицензии)</w:t>
            </w:r>
          </w:p>
        </w:tc>
        <w:tc>
          <w:tcPr>
            <w:tcW w:w="1708"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30</w:t>
            </w:r>
          </w:p>
        </w:tc>
        <w:tc>
          <w:tcPr>
            <w:tcW w:w="1501"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5 703 013,45</w:t>
            </w:r>
          </w:p>
          <w:p>
            <w:pPr>
              <w:spacing w:before="0" w:after="0" w:beforeAutospacing="0" w:afterAutospacing="0"/>
              <w:ind w:firstLine="0" w:left="0" w:right="0"/>
              <w:jc w:val="both"/>
            </w:pPr>
            <w:r>
              <w:rPr>
                <w:rFonts w:ascii="Times New Roman" w:hAnsi="Times New Roman" w:cs="Times New Roman" w:eastAsia="Times New Roman"/>
                <w:b w:val="0"/>
                <w:i w:val="0"/>
                <w:color w:val="FF0000"/>
                <w:sz w:val="24"/>
                <w:szCs w:val="24"/>
              </w:rPr>
              <w:t> </w:t>
            </w:r>
          </w:p>
        </w:tc>
        <w:tc>
          <w:tcPr>
            <w:tcW w:w="2573" w:type="dxa"/>
            <w:vMerge w:val="continue"/>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ind w:left="0" w:right="0"/>
            </w:pPr>
          </w:p>
        </w:tc>
        <w:tc>
          <w:tcPr>
            <w:tcW w:w="522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w:t>
            </w:r>
            <w:r>
              <w:rPr>
                <w:rFonts w:ascii="Times New Roman" w:hAnsi="Times New Roman" w:cs="Times New Roman" w:eastAsia="Times New Roman"/>
                <w:b w:val="0"/>
                <w:i w:val="0"/>
                <w:color w:val="FF0000"/>
                <w:sz w:val="24"/>
                <w:szCs w:val="24"/>
              </w:rPr>
              <w:t xml:space="preserve"> </w:t>
            </w:r>
            <w:r>
              <w:rPr>
                <w:rFonts w:ascii="Times New Roman" w:hAnsi="Times New Roman" w:cs="Times New Roman" w:eastAsia="Times New Roman"/>
                <w:b w:val="0"/>
                <w:i w:val="0"/>
                <w:color w:val="000000"/>
                <w:sz w:val="24"/>
                <w:szCs w:val="24"/>
              </w:rPr>
              <w:t>составлены протоколы по ст. 20.25 КоАП РФ и  направлены судебным приставам;</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Министерством проводится работа по контролю за ходом исполнительных производств, направляются запросы в отделы УФССП по Пензенской области;</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вынесенные Министерством постановления обжалуются в судах;</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по обращениям Министерства в рамках исполнительных производств обновлены запросы в регистрирующие органы и кредитные организации;  </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xml:space="preserve">- двум должникам вынесены постановления о временном  ограничении на выезд из РФ; </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сформированы сводные исполнительные производства;</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одно сводное исполнительное производство по должнику приостановлено, в связи с участием его в СВО;</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службой судебных приставов проводится работа по взысканию задолженности в соответствии с законом об исполнительном производстве № 229-ФЗ от 02.10.2007г. (по направленным Министерством протоколам);</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в 2024 году взысканы  просроченные штрафы на сумму 65,1 тыс. руб.(за 2022 год), 344,9 тыс. руб. (за 2023 год);</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увеличение просроченной дебиторской задолженности в 2024 году по вновь вынесенным постановлениям на сумму 1 714,5 тыс.руб. (939,5 тыс.руб. по постановлениям 2023 года, 775,0 тыс.руб. - по постановлениям 2024 года)</w:t>
            </w:r>
          </w:p>
        </w:tc>
      </w:tr>
      <w:tr>
        <w:tc>
          <w:tcPr>
            <w:tcW w:w="276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left"/>
              <w:outlineLvl w:val="0"/>
              <w:rPr>
                <w:b w:val="1"/>
                <w:sz w:val="48"/>
              </w:rPr>
            </w:pPr>
            <w:r>
              <w:rPr>
                <w:rFonts w:ascii="Times New Roman" w:hAnsi="Times New Roman" w:cs="Times New Roman" w:eastAsia="Times New Roman"/>
                <w:b w:val="0"/>
                <w:i w:val="0"/>
                <w:color w:val="000000"/>
                <w:sz w:val="24"/>
                <w:szCs w:val="24"/>
              </w:rPr>
              <w:t>КБК 84011601192010005140</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(ст. 19.7.1 КоАП РФ Непредставление сведений или представление заведомо недостоверных сведений в орган, осуществляющий государственный контроль (надзор) в области регулируемых государством цен (тарифов)</w:t>
            </w:r>
          </w:p>
        </w:tc>
        <w:tc>
          <w:tcPr>
            <w:tcW w:w="1708"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1</w:t>
            </w:r>
          </w:p>
        </w:tc>
        <w:tc>
          <w:tcPr>
            <w:tcW w:w="1501"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30 170,41</w:t>
            </w:r>
          </w:p>
        </w:tc>
        <w:tc>
          <w:tcPr>
            <w:tcW w:w="2573" w:type="dxa"/>
            <w:vMerge w:val="continue"/>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ind w:left="0" w:right="0"/>
            </w:pPr>
          </w:p>
        </w:tc>
        <w:tc>
          <w:tcPr>
            <w:tcW w:w="522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службой судебных приставов проводится работа по взысканию задолженности в соответствии с законом об исполнительном производстве № 229-ФЗ от 02.10.2007г. (по направленным Министерством протоколам);</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в 2023 году взысканы  </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просроченные штрафы на сумму 63,12 руб. </w:t>
            </w:r>
          </w:p>
        </w:tc>
      </w:tr>
      <w:tr>
        <w:tc>
          <w:tcPr>
            <w:tcW w:w="276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left"/>
              <w:outlineLvl w:val="0"/>
              <w:rPr>
                <w:b w:val="1"/>
                <w:sz w:val="48"/>
              </w:rPr>
            </w:pPr>
            <w:r>
              <w:rPr>
                <w:rFonts w:ascii="Times New Roman" w:hAnsi="Times New Roman" w:cs="Times New Roman" w:eastAsia="Times New Roman"/>
                <w:b w:val="0"/>
                <w:i w:val="0"/>
                <w:color w:val="FF0000"/>
                <w:sz w:val="28"/>
                <w:szCs w:val="28"/>
              </w:rPr>
              <w:t> </w:t>
            </w:r>
            <w:r>
              <w:rPr>
                <w:rFonts w:ascii="Times New Roman" w:hAnsi="Times New Roman" w:cs="Times New Roman" w:eastAsia="Times New Roman"/>
                <w:b w:val="0"/>
                <w:i w:val="0"/>
                <w:color w:val="000000"/>
                <w:sz w:val="24"/>
                <w:szCs w:val="24"/>
              </w:rPr>
              <w:t>КБК 84002010020000140</w:t>
            </w:r>
          </w:p>
          <w:p>
            <w:pPr>
              <w:spacing w:before="0" w:after="0" w:beforeAutospacing="0" w:afterAutospacing="0"/>
              <w:ind w:firstLine="0" w:left="0" w:right="0"/>
              <w:jc w:val="left"/>
              <w:outlineLvl w:val="0"/>
              <w:rPr>
                <w:b w:val="1"/>
                <w:sz w:val="48"/>
              </w:rPr>
            </w:pPr>
            <w:r>
              <w:rPr>
                <w:rFonts w:ascii="Times New Roman" w:hAnsi="Times New Roman" w:cs="Times New Roman" w:eastAsia="Times New Roman"/>
                <w:b w:val="0"/>
                <w:i w:val="0"/>
                <w:color w:val="000000"/>
                <w:sz w:val="24"/>
                <w:szCs w:val="24"/>
              </w:rPr>
              <w:t>(ст. 5.1.1 Кодекса Пензенской области об административных правонарушениях.</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Торговля в неустановленных местах)</w:t>
            </w:r>
          </w:p>
        </w:tc>
        <w:tc>
          <w:tcPr>
            <w:tcW w:w="1708"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210</w:t>
            </w:r>
          </w:p>
        </w:tc>
        <w:tc>
          <w:tcPr>
            <w:tcW w:w="1501"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845 793,92</w:t>
            </w:r>
          </w:p>
        </w:tc>
        <w:tc>
          <w:tcPr>
            <w:tcW w:w="2573"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Не оплата в срок по вынесенным постановлениям административных комиссий районов г. Пензы  </w:t>
            </w:r>
          </w:p>
        </w:tc>
        <w:tc>
          <w:tcPr>
            <w:tcW w:w="522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left"/>
            </w:pPr>
            <w:r>
              <w:rPr>
                <w:rFonts w:ascii="Times New Roman" w:hAnsi="Times New Roman" w:cs="Times New Roman" w:eastAsia="Times New Roman"/>
                <w:b w:val="0"/>
                <w:i w:val="0"/>
                <w:color w:val="FF0000"/>
                <w:sz w:val="28"/>
                <w:szCs w:val="28"/>
              </w:rPr>
              <w:t> </w:t>
            </w:r>
            <w:r>
              <w:rPr>
                <w:rFonts w:ascii="Times New Roman" w:hAnsi="Times New Roman" w:cs="Times New Roman" w:eastAsia="Times New Roman"/>
                <w:b w:val="0"/>
                <w:i w:val="0"/>
                <w:color w:val="000000"/>
                <w:sz w:val="24"/>
                <w:szCs w:val="24"/>
              </w:rPr>
              <w:t>Т.к. данные штрафы выносятся по протоколам, составленными административными комиссиями районов г. Пензы, все меры по уменьшению задолженности проводятся административными комиссиями районов.</w:t>
            </w:r>
          </w:p>
          <w:p>
            <w:pPr>
              <w:spacing w:before="0" w:after="0" w:beforeAutospacing="0" w:afterAutospacing="0"/>
              <w:ind w:firstLine="0" w:left="0" w:right="0"/>
              <w:jc w:val="both"/>
            </w:pPr>
            <w:r>
              <w:rPr>
                <w:rFonts w:ascii="Times New Roman" w:hAnsi="Times New Roman" w:cs="Times New Roman" w:eastAsia="Times New Roman"/>
                <w:b w:val="0"/>
                <w:i w:val="0"/>
                <w:color w:val="FF0000"/>
                <w:sz w:val="28"/>
                <w:szCs w:val="28"/>
              </w:rPr>
              <w:t> </w:t>
            </w:r>
          </w:p>
        </w:tc>
      </w:tr>
      <w:tr>
        <w:tc>
          <w:tcPr>
            <w:tcW w:w="276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FF0000"/>
                <w:sz w:val="28"/>
                <w:szCs w:val="28"/>
              </w:rPr>
              <w:t> </w:t>
            </w:r>
          </w:p>
        </w:tc>
        <w:tc>
          <w:tcPr>
            <w:tcW w:w="1708"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FF0000"/>
                <w:sz w:val="24"/>
                <w:szCs w:val="24"/>
              </w:rPr>
              <w:t> </w:t>
            </w:r>
          </w:p>
        </w:tc>
        <w:tc>
          <w:tcPr>
            <w:tcW w:w="1501"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1"/>
                <w:i w:val="0"/>
                <w:color w:val="000000"/>
                <w:sz w:val="24"/>
                <w:szCs w:val="24"/>
              </w:rPr>
              <w:t>7 328 996,88</w:t>
            </w:r>
          </w:p>
        </w:tc>
        <w:tc>
          <w:tcPr>
            <w:tcW w:w="2573"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FF0000"/>
                <w:sz w:val="28"/>
                <w:szCs w:val="28"/>
              </w:rPr>
              <w:t> </w:t>
            </w:r>
          </w:p>
        </w:tc>
        <w:tc>
          <w:tcPr>
            <w:tcW w:w="522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FF0000"/>
                <w:sz w:val="28"/>
                <w:szCs w:val="28"/>
              </w:rPr>
              <w:t> </w:t>
            </w:r>
          </w:p>
        </w:tc>
      </w:tr>
    </w:tbl>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4"/>
          <w:szCs w:val="24"/>
        </w:rPr>
        <w:t> </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 по статье 221: Дебиторская задолженность подотчетного лица по выданным конвертам, почтовым маркам составила 155 010,00 руб.;</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по статье 241: субсидия на выполнение гос.задания ГУ "ППСЦ" составила 113 130 278,58 руб.;</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по статье 241: участие ГБУ «Пензенский пожарно-спасательный центр» в реализации специального инфраструктурного проекта и иных проектов составила 243 600,00 руб.;</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по статье 246: имущественный взнос Пензенской области в «Региональный фонд капитального ремонта многоквартирных домов Пензенской области» составила 1 837 041,66 руб.;</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по статье 251: Дебиторская задолженность по расчетам между бюджетами по субвенциям, субсидиям и иным межбюджетным трансфертам на 01.07.2024г. текущего характера в сумме 302 399,24  руб., из них:</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- 302 399,24 руб. - субсидии на капитальный ремонт сетей и сооружений водоснабжения в населенных пунктах Пензенской области;</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по статье 266: оплата больничного листа составила 5 714,80 руб.;</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4"/>
          <w:szCs w:val="24"/>
        </w:rPr>
        <w:t> </w:t>
      </w:r>
      <w:r>
        <w:rPr>
          <w:rFonts w:ascii="Times New Roman" w:hAnsi="Times New Roman" w:cs="Times New Roman" w:eastAsia="Times New Roman"/>
          <w:b w:val="0"/>
          <w:i w:val="0"/>
          <w:color w:val="000000"/>
          <w:sz w:val="28"/>
          <w:szCs w:val="28"/>
        </w:rPr>
        <w:t>- по статье 291: дебиторская задолженность по налогу на имущество 37,00 руб.</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4"/>
          <w:szCs w:val="24"/>
        </w:rPr>
        <w:t> </w:t>
      </w:r>
    </w:p>
    <w:p>
      <w:pPr>
        <w:spacing w:before="0" w:after="0" w:beforeAutospacing="0" w:afterAutospacing="0"/>
        <w:ind w:firstLine="720" w:left="0" w:right="0"/>
        <w:jc w:val="both"/>
        <w:outlineLvl w:val="9"/>
      </w:pPr>
      <w:r>
        <w:rPr>
          <w:rFonts w:ascii="Times New Roman" w:hAnsi="Times New Roman" w:cs="Times New Roman" w:eastAsia="Times New Roman"/>
          <w:b w:val="0"/>
          <w:i w:val="0"/>
          <w:color w:val="000000"/>
          <w:sz w:val="28"/>
          <w:szCs w:val="28"/>
        </w:rPr>
        <w:t>Кредиторская задолженность на 01.07.2024г. сложилась в сумме 5 012 990,06 руб., в т.ч.:</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по статье 211 в сумме 2 369 264,55 руб. - расчеты по заработной плате, НДФЛ; </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по статье 213 в сумме 1 890 620,88 руб. - начисления на выплаты по оплате труда;</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по статье 221 в сумме 32 994,11 - за услуги связи;</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по статье 226 в сумме 25 000,00 руб. - оплата услуг по сопровождению СПС "Консультант";</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по статье 266 в сумме 695 110,52 руб. расходы по выплате социальных пособий и компенсаций работникам.</w:t>
      </w:r>
      <w:r>
        <w:rPr>
          <w:rFonts w:ascii="Times New Roman" w:hAnsi="Times New Roman" w:cs="Times New Roman" w:eastAsia="Times New Roman"/>
          <w:b w:val="0"/>
          <w:i w:val="0"/>
          <w:color w:val="000000"/>
          <w:sz w:val="24"/>
          <w:szCs w:val="24"/>
        </w:rPr>
        <w:t> </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4"/>
          <w:szCs w:val="24"/>
        </w:rPr>
        <w:t xml:space="preserve">  </w:t>
      </w:r>
    </w:p>
    <w:p>
      <w:pPr>
        <w:spacing w:before="0" w:after="0" w:beforeAutospacing="0" w:afterAutospacing="0"/>
        <w:ind w:firstLine="540" w:left="0" w:right="0"/>
        <w:jc w:val="center"/>
        <w:outlineLvl w:val="9"/>
      </w:pPr>
      <w:r>
        <w:rPr>
          <w:rFonts w:ascii="Times New Roman" w:hAnsi="Times New Roman" w:cs="Times New Roman" w:eastAsia="Times New Roman"/>
          <w:b w:val="1"/>
          <w:i w:val="0"/>
          <w:color w:val="000000"/>
          <w:sz w:val="28"/>
          <w:szCs w:val="28"/>
        </w:rPr>
        <w:t>5. Прочие вопросы деятельности субъекта бюджетной отчетности</w:t>
      </w:r>
    </w:p>
    <w:p>
      <w:pPr>
        <w:spacing w:before="0" w:after="0" w:beforeAutospacing="0" w:afterAutospacing="0"/>
        <w:ind w:firstLine="0" w:left="0" w:right="0"/>
        <w:jc w:val="center"/>
        <w:outlineLvl w:val="9"/>
      </w:pPr>
      <w:r>
        <w:rPr>
          <w:rFonts w:ascii="Times New Roman" w:hAnsi="Times New Roman" w:cs="Times New Roman" w:eastAsia="Times New Roman"/>
          <w:b w:val="1"/>
          <w:i w:val="0"/>
          <w:color w:val="000000"/>
          <w:sz w:val="28"/>
          <w:szCs w:val="28"/>
        </w:rPr>
        <w:t> </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Бухгалтерский учет ведется в соответствии с федеральным законом от 06.12.2011 №402-ФЗ «О бухгалтерском учете» (с последующими изменениями), нормативными документами Министерства финансов Российской Федерации по учету исполнения бюджета, приказами Минфина РФ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последующими изменениями),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(с последующими изменениями), учетной политикой, федеральными стандартами бухгалтерского учета для организаций государственного сектора, утвержденными приказами Минфина России от 31 декабря 2016 № 256н, № 257н, № 258н, № 259н, № 260н, № 278н, № 274н, № 275н, от 30.12.2017 № 277н, от 27.02.2018 № 32н, от 28.02.2018 № 34н, № 37н, от 30.05.2018 № 124н, от 29.06.2018 № 145н, № 146н, от 07.12.2018 № 256н, от 15.11.2019 № 181н, № 184н, от 29.09.2020 № 223н, от 30.10.2020 № 255н (далее – соответственно Стандарт «Концептуальные основы бухучета и отчетности», Стандарт «Основные средства», Стандарт «Аренда», Стандарт «Обесценение активов», Стандарт «Представление бухгалтерской (финансовой) отчетности», Стандарт «Отчет о движении денежных средств», Стандарт «Учетная политика»,  Стандарт «События после отчетной даты», Стандарт «Информация о связанных сторонах», Стандарт «Доходы», Стандарт  «Бюджетная информация в бухгалтерской (финансовой) отчетности», Стандарт  «Непроизведенные активы», Стандарт «Резервы. Раскрытие информации об условных обязательствах и условных активах», Стандарт «Долгосрочные договоры», Стандарт «Концессионные соглашения», "Стандарт «Запасы», Стандарт «Нематериальные активы», Стандарт «Выплаты персоналу», Стандарт "Сведения о показателях бухгалтерской (финансовой) отчетности по сегментам", Стандарт "Консолидированная бухгалтерская (финансовая) отчетность").</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Учет в Министерстве осуществляется с применением автоматизированной системы бюджетного учета «Смета». </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В отчетном периоде осуществлялось исправление ошибки прошлого года (прошлых лет), которая отражена в Сведениях об изменении остатков валюты баланса Министерства (</w:t>
      </w:r>
      <w:hyperlink xmlns:r="http://schemas.openxmlformats.org/officeDocument/2006/relationships" r:id="R2">
        <w:r>
          <w:rPr>
            <w:rStyle w:val="C2"/>
            <w:rFonts w:ascii="Times New Roman" w:hAnsi="Times New Roman" w:cs="Times New Roman" w:eastAsia="Times New Roman"/>
            <w:b w:val="0"/>
            <w:i w:val="0"/>
            <w:color w:val="000000"/>
            <w:sz w:val="28"/>
            <w:szCs w:val="28"/>
            <w:u w:val="none"/>
          </w:rPr>
          <w:t>ф. 0503173</w:t>
        </w:r>
      </w:hyperlink>
      <w:r>
        <w:rPr>
          <w:rFonts w:ascii="Times New Roman" w:hAnsi="Times New Roman" w:cs="Times New Roman" w:eastAsia="Times New Roman"/>
          <w:b w:val="0"/>
          <w:i w:val="0"/>
          <w:color w:val="000000"/>
          <w:sz w:val="28"/>
          <w:szCs w:val="28"/>
        </w:rPr>
        <w:t xml:space="preserve">). </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В связи с отсутствием финансовых показателей Министерством в составе отчетности на 01.04.2024 не представлены следующие формы по ОКУД: 0503184 «Справка о суммах консолидируемых поступлений, подлежащих зачислению на счет бюджета»</w:t>
      </w:r>
      <w:r>
        <w:rPr>
          <w:rFonts w:ascii="Calibri" w:hAnsi="Calibri" w:cs="Calibri" w:eastAsia="Calibri"/>
          <w:b w:val="0"/>
          <w:i w:val="0"/>
          <w:color w:val="000000"/>
          <w:sz w:val="28"/>
          <w:szCs w:val="28"/>
        </w:rPr>
        <w:t>.</w:t>
      </w:r>
      <w:r>
        <w:rPr>
          <w:rFonts w:ascii="Calibri" w:hAnsi="Calibri" w:cs="Calibri" w:eastAsia="Calibri"/>
          <w:b w:val="0"/>
          <w:i w:val="0"/>
          <w:color w:val="000000"/>
          <w:sz w:val="22"/>
          <w:szCs w:val="22"/>
        </w:rPr>
        <w:t> </w:t>
      </w:r>
    </w:p>
    <w:p>
      <w:pPr>
        <w:spacing w:before="0" w:after="0" w:beforeAutospacing="0" w:afterAutospacing="0"/>
        <w:ind w:firstLine="540" w:left="0" w:right="0"/>
        <w:jc w:val="both"/>
        <w:outlineLvl w:val="9"/>
      </w:pPr>
      <w:r>
        <w:rPr>
          <w:rFonts w:ascii="Calibri" w:hAnsi="Calibri" w:cs="Calibri" w:eastAsia="Calibri"/>
          <w:b w:val="0"/>
          <w:i w:val="0"/>
          <w:color w:val="000000"/>
          <w:sz w:val="22"/>
          <w:szCs w:val="22"/>
        </w:rPr>
        <w:t> </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w:t>
      </w:r>
    </w:p>
    <w:p>
      <w:pPr>
        <w:spacing w:before="0" w:after="0" w:beforeAutospacing="0" w:afterAutospacing="0"/>
        <w:ind w:firstLine="0" w:left="0" w:right="0"/>
        <w:jc w:val="left"/>
        <w:outlineLvl w:val="9"/>
      </w:pPr>
      <w:r>
        <w:rPr>
          <w:rFonts w:ascii="Times New Roman" w:hAnsi="Times New Roman" w:cs="Times New Roman" w:eastAsia="Times New Roman"/>
          <w:b w:val="0"/>
          <w:i w:val="0"/>
          <w:color w:val="000000"/>
          <w:sz w:val="24"/>
          <w:szCs w:val="24"/>
        </w:rPr>
        <w:t> </w:t>
      </w:r>
    </w:p>
    <w:p>
      <w:pPr>
        <w:spacing w:before="0" w:after="0" w:beforeAutospacing="0" w:afterAutospacing="0"/>
        <w:ind w:firstLine="0" w:left="0" w:right="0"/>
        <w:jc w:val="left"/>
        <w:outlineLvl w:val="9"/>
      </w:pPr>
      <w:r>
        <w:rPr>
          <w:rFonts w:ascii="Times New Roman" w:hAnsi="Times New Roman" w:cs="Times New Roman" w:eastAsia="Times New Roman"/>
          <w:b w:val="0"/>
          <w:i w:val="0"/>
          <w:color w:val="000000"/>
          <w:sz w:val="24"/>
          <w:szCs w:val="24"/>
        </w:rPr>
        <w:t> </w:t>
      </w:r>
    </w:p>
    <w:p>
      <w:pPr>
        <w:spacing w:before="0" w:after="0" w:beforeAutospacing="0" w:afterAutospacing="0"/>
        <w:ind w:firstLine="0" w:left="0" w:right="0"/>
        <w:jc w:val="left"/>
        <w:outlineLvl w:val="9"/>
      </w:pPr>
      <w:r>
        <w:rPr>
          <w:rFonts w:ascii="Times New Roman" w:hAnsi="Times New Roman" w:cs="Times New Roman" w:eastAsia="Times New Roman"/>
          <w:b w:val="0"/>
          <w:i w:val="0"/>
          <w:color w:val="000000"/>
          <w:sz w:val="24"/>
          <w:szCs w:val="24"/>
        </w:rPr>
        <w:t> </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4"/>
          <w:szCs w:val="24"/>
        </w:rPr>
        <w:t> </w:t>
      </w:r>
    </w:p>
    <w:p>
      <w:pPr>
        <w:spacing w:before="0" w:after="0" w:beforeAutospacing="0" w:afterAutospacing="0"/>
        <w:ind w:firstLine="0" w:left="0" w:right="0"/>
        <w:jc w:val="left"/>
        <w:outlineLvl w:val="9"/>
      </w:pPr>
      <w:r>
        <w:rPr>
          <w:rFonts w:ascii="Calibri" w:hAnsi="Calibri" w:cs="Calibri" w:eastAsia="Calibri"/>
          <w:b w:val="0"/>
          <w:i w:val="0"/>
          <w:color w:val="000000"/>
          <w:sz w:val="22"/>
          <w:szCs w:val="22"/>
        </w:rPr>
        <w:t> </w:t>
      </w:r>
    </w:p>
    <w:p>
      <w:pPr>
        <w:spacing w:before="0" w:after="0" w:beforeAutospacing="0" w:afterAutospacing="0"/>
        <w:ind w:firstLine="0" w:left="0" w:right="0"/>
        <w:jc w:val="left"/>
        <w:outlineLvl w:val="9"/>
      </w:pPr>
      <w:r>
        <w:rPr>
          <w:rFonts w:ascii="Calibri" w:hAnsi="Calibri" w:cs="Calibri" w:eastAsia="Calibri"/>
          <w:b w:val="0"/>
          <w:i w:val="0"/>
          <w:color w:val="000000"/>
          <w:sz w:val="22"/>
          <w:szCs w:val="22"/>
        </w:rPr>
        <w:t> </w:t>
      </w:r>
    </w:p>
    <w:p>
      <w:pPr>
        <w:spacing w:before="0" w:after="0" w:beforeAutospacing="0" w:afterAutospacing="0"/>
        <w:ind w:firstLine="0" w:left="0" w:right="0"/>
        <w:jc w:val="left"/>
        <w:outlineLvl w:val="9"/>
      </w:pPr>
      <w:r>
        <w:rPr>
          <w:rFonts w:ascii="Times New Roman" w:hAnsi="Times New Roman" w:cs="Times New Roman" w:eastAsia="Times New Roman"/>
          <w:b w:val="0"/>
          <w:i w:val="0"/>
          <w:color w:val="000000"/>
          <w:sz w:val="24"/>
          <w:szCs w:val="24"/>
        </w:rPr>
        <w:t> </w:t>
      </w:r>
    </w:p>
    <w:p>
      <w:pPr>
        <w:spacing w:before="0" w:after="0" w:beforeAutospacing="0" w:afterAutospacing="0"/>
        <w:ind w:firstLine="0" w:left="0" w:right="0"/>
        <w:jc w:val="left"/>
        <w:outlineLvl w:val="9"/>
      </w:pPr>
      <w:r>
        <w:rPr>
          <w:rFonts w:ascii="Times New Roman" w:hAnsi="Times New Roman" w:cs="Times New Roman" w:eastAsia="Times New Roman"/>
          <w:b w:val="0"/>
          <w:i w:val="0"/>
          <w:color w:val="000000"/>
          <w:sz w:val="24"/>
          <w:szCs w:val="24"/>
        </w:rPr>
        <w:t> </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4"/>
          <w:szCs w:val="24"/>
        </w:rPr>
        <w:t> </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4"/>
          <w:szCs w:val="24"/>
        </w:rPr>
        <w:t> </w:t>
      </w:r>
    </w:p>
    <w:p>
      <w:pPr>
        <w:spacing w:before="0" w:after="0" w:beforeAutospacing="0" w:afterAutospacing="0"/>
        <w:ind w:firstLine="0" w:left="0" w:right="0"/>
        <w:jc w:val="left"/>
        <w:outlineLvl w:val="9"/>
      </w:pPr>
      <w:r>
        <w:rPr>
          <w:rFonts w:ascii="Calibri" w:hAnsi="Calibri" w:cs="Calibri" w:eastAsia="Calibri"/>
          <w:b w:val="0"/>
          <w:i w:val="0"/>
          <w:color w:val="000000"/>
          <w:sz w:val="22"/>
          <w:szCs w:val="22"/>
        </w:rPr>
        <w:t> </w:t>
      </w:r>
    </w:p>
    <w:p>
      <w:pPr>
        <w:spacing w:before="0" w:after="0" w:beforeAutospacing="0" w:afterAutospacing="0"/>
        <w:ind w:firstLine="0" w:left="0" w:right="0"/>
        <w:jc w:val="left"/>
        <w:outlineLvl w:val="9"/>
      </w:pPr>
      <w:r>
        <w:rPr>
          <w:rFonts w:ascii="Calibri" w:hAnsi="Calibri" w:cs="Calibri" w:eastAsia="Calibri"/>
          <w:b w:val="0"/>
          <w:i w:val="0"/>
          <w:color w:val="000000"/>
          <w:sz w:val="22"/>
          <w:szCs w:val="22"/>
        </w:rPr>
        <w:t> </w:t>
      </w:r>
    </w:p>
    <w:p>
      <w:pPr>
        <w:spacing w:before="0" w:after="0" w:beforeAutospacing="0" w:afterAutospacing="0"/>
        <w:ind w:firstLine="0" w:left="0" w:right="0"/>
        <w:jc w:val="left"/>
        <w:outlineLvl w:val="9"/>
      </w:pPr>
      <w:r>
        <w:rPr>
          <w:rFonts w:ascii="Times New Roman" w:hAnsi="Times New Roman" w:cs="Times New Roman" w:eastAsia="Times New Roman"/>
          <w:b w:val="0"/>
          <w:i w:val="0"/>
          <w:color w:val="000000"/>
          <w:sz w:val="24"/>
          <w:szCs w:val="24"/>
        </w:rPr>
        <w:t> </w:t>
      </w:r>
    </w:p>
    <w:p>
      <w:pPr>
        <w:spacing w:before="0" w:after="0" w:beforeAutospacing="0" w:afterAutospacing="0"/>
        <w:ind w:firstLine="0" w:left="0" w:right="0"/>
        <w:jc w:val="left"/>
        <w:outlineLvl w:val="9"/>
      </w:pPr>
      <w:r>
        <w:rPr>
          <w:rFonts w:ascii="Times New Roman" w:hAnsi="Times New Roman" w:cs="Times New Roman" w:eastAsia="Times New Roman"/>
          <w:b w:val="0"/>
          <w:i w:val="0"/>
          <w:color w:val="000000"/>
          <w:sz w:val="24"/>
          <w:szCs w:val="24"/>
        </w:rPr>
        <w:t> </w:t>
      </w:r>
    </w:p>
    <w:p>
      <w:pPr>
        <w:spacing w:before="0" w:after="0" w:beforeAutospacing="0" w:afterAutospacing="0"/>
        <w:ind w:firstLine="0" w:left="0" w:right="0"/>
        <w:outlineLvl w:val="9"/>
      </w:pPr>
    </w:p>
    <w:tbl>
      <w:tblPr>
        <w:tblW w:w="10940" w:type="dxa"/>
        <w:tblInd w:w="96" w:type="dxa"/>
        <w:tblBorders>
          <w:top w:val="none" w:sz="0" w:space="0" w:shadow="0" w:frame="0" w:color="000000"/>
          <w:left w:val="none" w:sz="0" w:space="0" w:shadow="0" w:frame="0" w:color="000000"/>
          <w:bottom w:val="none" w:sz="0" w:space="0" w:shadow="0" w:frame="0" w:color="000000"/>
          <w:right w:val="none" w:sz="0" w:space="0" w:shadow="0" w:frame="0" w:color="000000"/>
          <w:insideH w:val="none" w:sz="0" w:space="0" w:shadow="0" w:frame="0" w:color="auto"/>
          <w:insideV w:val="none" w:sz="0" w:space="0" w:shadow="0" w:frame="0" w:color="auto"/>
        </w:tblBorders>
        <w:tblLayout w:type="autofit"/>
        <w:tblCellMar>
          <w:top w:w="0" w:type="dxa"/>
          <w:left w:w="0" w:type="dxa"/>
          <w:bottom w:w="0" w:type="dxa"/>
          <w:right w:w="0" w:type="dxa"/>
        </w:tblCellMar>
      </w:tblPr>
      <w:tblGrid/>
      <w:tr>
        <w:tc>
          <w:tcPr>
            <w:tcW w:w="10940" w:type="dxa"/>
            <w:gridSpan w:val="3"/>
            <w:tcMar>
              <w:top w:w="0" w:type="dxa"/>
              <w:left w:w="108" w:type="dxa"/>
              <w:bottom w:w="0" w:type="dxa"/>
              <w:right w:w="108" w:type="dxa"/>
            </w:tcMar>
            <w:vAlign w:val="center"/>
            <w:hideMark/>
          </w:tcPr>
          <w:p>
            <w:pPr>
              <w:ind w:left="0" w:right="0"/>
            </w:pPr>
          </w:p>
        </w:tc>
      </w:tr>
      <w:tr>
        <w:tc>
          <w:tcPr>
            <w:tcW w:w="2730" w:type="dxa"/>
            <w:tcMar>
              <w:top w:w="0" w:type="dxa"/>
              <w:left w:w="108" w:type="dxa"/>
              <w:bottom w:w="0" w:type="dxa"/>
              <w:right w:w="108" w:type="dxa"/>
            </w:tcMar>
            <w:vAlign w:val="center"/>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20"/>
                <w:szCs w:val="20"/>
              </w:rPr>
              <w:t>Руководитель</w:t>
            </w:r>
          </w:p>
        </w:tc>
        <w:tc>
          <w:tcPr>
            <w:tcW w:w="4732" w:type="dxa"/>
            <w:tcMar>
              <w:top w:w="0" w:type="dxa"/>
              <w:left w:w="108" w:type="dxa"/>
              <w:bottom w:w="0" w:type="dxa"/>
              <w:right w:w="108" w:type="dxa"/>
            </w:tcMar>
            <w:vAlign w:val="center"/>
            <w:hideMark/>
          </w:tcPr>
          <w:p>
            <w:pPr>
              <w:spacing w:before="0" w:after="0" w:beforeAutospacing="0" w:afterAutospacing="0"/>
              <w:ind w:left="0" w:right="0"/>
              <w:rPr>
                <w:rFonts w:ascii="Times New Roman" w:hAnsi="Times New Roman" w:cs="Times New Roman" w:eastAsia="Times New Roman"/>
                <w:sz w:val="24"/>
              </w:rPr>
            </w:pPr>
            <w:r>
              <w:drawing>
                <wp:inline xmlns:wp="http://schemas.openxmlformats.org/drawingml/2006/wordprocessingDrawing" distT="0" distB="0" distL="0" distR="0">
                  <wp:extent cx="28575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dpi="0">
                          <a:blip xmlns:r="http://schemas.openxmlformats.org/officeDocument/2006/relationships" r:embed="Relimage1"/>
                          <a:srcRect/>
                          <a:stretch>
                            <a:fillRect/>
                          </a:stretch>
                        </pic:blipFill>
                        <pic:spPr>
                          <a:xfrm>
                            <a:off x="0" y="0"/>
                            <a:ext cx="2857500" cy="952500"/>
                          </a:xfrm>
                          <a:prstGeom prst="rect"/>
                          <a:noFill/>
                        </pic:spPr>
                      </pic:pic>
                    </a:graphicData>
                  </a:graphic>
                </wp:inline>
              </w:drawing>
            </w:r>
          </w:p>
        </w:tc>
        <w:tc>
          <w:tcPr>
            <w:tcW w:w="0" w:type="auto"/>
            <w:tcMar>
              <w:top w:w="0" w:type="dxa"/>
              <w:left w:w="108" w:type="dxa"/>
              <w:bottom w:w="0" w:type="dxa"/>
              <w:right w:w="108" w:type="dxa"/>
            </w:tcMar>
            <w:vAlign w:val="center"/>
            <w:hideMark/>
          </w:tcPr>
          <w:p>
            <w:pPr>
              <w:ind w:left="0" w:right="0"/>
            </w:pPr>
          </w:p>
        </w:tc>
      </w:tr>
      <w:tr>
        <w:trPr>
          <w:trHeight w:hRule="atLeast" w:val="280"/>
        </w:trPr>
        <w:tc>
          <w:tcPr>
            <w:tcW w:w="2730" w:type="dxa"/>
            <w:noWrap/>
            <w:tcMar>
              <w:top w:w="0" w:type="dxa"/>
              <w:left w:w="108" w:type="dxa"/>
              <w:bottom w:w="0" w:type="dxa"/>
              <w:right w:w="108" w:type="dxa"/>
            </w:tcMar>
            <w:vAlign w:val="bottom"/>
            <w:hideMark/>
          </w:tcPr>
          <w:p>
            <w:pPr>
              <w:ind w:left="0" w:right="0"/>
              <w:rPr>
                <w:sz w:val="24"/>
              </w:rPr>
            </w:pPr>
          </w:p>
        </w:tc>
        <w:tc>
          <w:tcPr>
            <w:tcW w:w="4732" w:type="dxa"/>
            <w:tcMar>
              <w:top w:w="0" w:type="dxa"/>
              <w:left w:w="108" w:type="dxa"/>
              <w:bottom w:w="0" w:type="dxa"/>
              <w:right w:w="108" w:type="dxa"/>
            </w:tcMar>
            <w:vAlign w:val="center"/>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20"/>
                <w:szCs w:val="20"/>
              </w:rPr>
              <w:t>(подпись)</w:t>
            </w:r>
          </w:p>
        </w:tc>
        <w:tc>
          <w:tcPr>
            <w:tcW w:w="0" w:type="auto"/>
            <w:tcMar>
              <w:top w:w="0" w:type="dxa"/>
              <w:left w:w="108" w:type="dxa"/>
              <w:bottom w:w="0" w:type="dxa"/>
              <w:right w:w="108" w:type="dxa"/>
            </w:tcMar>
            <w:vAlign w:val="center"/>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20"/>
                <w:szCs w:val="20"/>
              </w:rPr>
              <w:t>(расшифровка подписи)</w:t>
            </w:r>
          </w:p>
        </w:tc>
      </w:tr>
      <w:tr>
        <w:trPr>
          <w:trHeight w:hRule="atLeast" w:val="132"/>
        </w:trPr>
        <w:tc>
          <w:tcPr>
            <w:tcW w:w="0" w:type="auto"/>
            <w:gridSpan w:val="3"/>
            <w:noWrap/>
            <w:tcMar>
              <w:top w:w="0" w:type="dxa"/>
              <w:left w:w="108" w:type="dxa"/>
              <w:bottom w:w="0" w:type="dxa"/>
              <w:right w:w="108" w:type="dxa"/>
            </w:tcMar>
            <w:vAlign w:val="bottom"/>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20"/>
                <w:szCs w:val="20"/>
              </w:rPr>
              <w:t> </w:t>
            </w:r>
          </w:p>
        </w:tc>
      </w:tr>
      <w:tr>
        <w:trPr>
          <w:trHeight w:hRule="atLeast" w:val="281"/>
        </w:trPr>
        <w:tc>
          <w:tcPr>
            <w:tcW w:w="2730" w:type="dxa"/>
            <w:tcMar>
              <w:top w:w="0" w:type="dxa"/>
              <w:left w:w="108" w:type="dxa"/>
              <w:bottom w:w="0" w:type="dxa"/>
              <w:right w:w="108" w:type="dxa"/>
            </w:tcMar>
            <w:vAlign w:val="center"/>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20"/>
                <w:szCs w:val="20"/>
              </w:rPr>
              <w:t>Руководитель планово-</w:t>
            </w:r>
          </w:p>
        </w:tc>
        <w:tc>
          <w:tcPr>
            <w:tcW w:w="4732" w:type="dxa"/>
            <w:tcMar>
              <w:top w:w="0" w:type="dxa"/>
              <w:left w:w="108" w:type="dxa"/>
              <w:bottom w:w="0" w:type="dxa"/>
              <w:right w:w="108" w:type="dxa"/>
            </w:tcMar>
            <w:vAlign w:val="center"/>
            <w:hideMark/>
          </w:tcPr>
          <w:p>
            <w:pPr>
              <w:ind w:left="0" w:right="0"/>
              <w:rPr>
                <w:sz w:val="24"/>
              </w:rPr>
            </w:pPr>
          </w:p>
        </w:tc>
        <w:tc>
          <w:tcPr>
            <w:tcW w:w="0" w:type="auto"/>
            <w:tcMar>
              <w:top w:w="0" w:type="dxa"/>
              <w:left w:w="108" w:type="dxa"/>
              <w:bottom w:w="0" w:type="dxa"/>
              <w:right w:w="108" w:type="dxa"/>
            </w:tcMar>
            <w:vAlign w:val="center"/>
            <w:hideMark/>
          </w:tcPr>
          <w:p>
            <w:pPr>
              <w:ind w:left="0" w:right="0"/>
              <w:rPr>
                <w:sz w:val="24"/>
              </w:rPr>
            </w:pPr>
          </w:p>
        </w:tc>
      </w:tr>
      <w:tr>
        <w:trPr>
          <w:trHeight w:hRule="atLeast" w:val="281"/>
        </w:trPr>
        <w:tc>
          <w:tcPr>
            <w:tcW w:w="2730" w:type="dxa"/>
            <w:tcMar>
              <w:top w:w="0" w:type="dxa"/>
              <w:left w:w="108" w:type="dxa"/>
              <w:bottom w:w="0" w:type="dxa"/>
              <w:right w:w="108" w:type="dxa"/>
            </w:tcMar>
            <w:vAlign w:val="center"/>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20"/>
                <w:szCs w:val="20"/>
              </w:rPr>
              <w:t>экономической службы</w:t>
            </w:r>
          </w:p>
        </w:tc>
        <w:tc>
          <w:tcPr>
            <w:tcW w:w="4732" w:type="dxa"/>
            <w:tcMar>
              <w:top w:w="0" w:type="dxa"/>
              <w:left w:w="108" w:type="dxa"/>
              <w:bottom w:w="0" w:type="dxa"/>
              <w:right w:w="108" w:type="dxa"/>
            </w:tcMar>
            <w:vAlign w:val="center"/>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20"/>
                <w:szCs w:val="20"/>
              </w:rPr>
              <w:t>(подпись)</w:t>
            </w:r>
          </w:p>
        </w:tc>
        <w:tc>
          <w:tcPr>
            <w:tcW w:w="0" w:type="auto"/>
            <w:tcMar>
              <w:top w:w="0" w:type="dxa"/>
              <w:left w:w="108" w:type="dxa"/>
              <w:bottom w:w="0" w:type="dxa"/>
              <w:right w:w="108" w:type="dxa"/>
            </w:tcMar>
            <w:vAlign w:val="center"/>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20"/>
                <w:szCs w:val="20"/>
              </w:rPr>
              <w:t>(расшифровка подписи)</w:t>
            </w:r>
          </w:p>
        </w:tc>
      </w:tr>
      <w:tr>
        <w:trPr>
          <w:trHeight w:hRule="atLeast" w:val="281"/>
        </w:trPr>
        <w:tc>
          <w:tcPr>
            <w:tcW w:w="0" w:type="auto"/>
            <w:gridSpan w:val="3"/>
            <w:noWrap/>
            <w:tcMar>
              <w:top w:w="0" w:type="dxa"/>
              <w:left w:w="108" w:type="dxa"/>
              <w:bottom w:w="0" w:type="dxa"/>
              <w:right w:w="108" w:type="dxa"/>
            </w:tcMar>
            <w:vAlign w:val="bottom"/>
            <w:hideMark/>
          </w:tcPr>
          <w:p>
            <w:pPr>
              <w:ind w:left="0" w:right="0"/>
              <w:rPr>
                <w:sz w:val="24"/>
              </w:rPr>
            </w:pPr>
          </w:p>
        </w:tc>
      </w:tr>
      <w:tr>
        <w:trPr>
          <w:trHeight w:hRule="atLeast" w:val="281"/>
        </w:trPr>
        <w:tc>
          <w:tcPr>
            <w:tcW w:w="2730" w:type="dxa"/>
            <w:tcMar>
              <w:top w:w="0" w:type="dxa"/>
              <w:left w:w="108" w:type="dxa"/>
              <w:bottom w:w="0" w:type="dxa"/>
              <w:right w:w="108" w:type="dxa"/>
            </w:tcMar>
            <w:vAlign w:val="center"/>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20"/>
                <w:szCs w:val="20"/>
              </w:rPr>
              <w:t> </w:t>
            </w:r>
          </w:p>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20"/>
                <w:szCs w:val="20"/>
              </w:rPr>
              <w:t> </w:t>
            </w:r>
          </w:p>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20"/>
                <w:szCs w:val="20"/>
              </w:rPr>
              <w:t>Главный</w:t>
            </w:r>
          </w:p>
        </w:tc>
        <w:tc>
          <w:tcPr>
            <w:tcW w:w="4732" w:type="dxa"/>
            <w:tcMar>
              <w:top w:w="0" w:type="dxa"/>
              <w:left w:w="108" w:type="dxa"/>
              <w:bottom w:w="0" w:type="dxa"/>
              <w:right w:w="108" w:type="dxa"/>
            </w:tcMar>
            <w:vAlign w:val="center"/>
            <w:hideMark/>
          </w:tcPr>
          <w:p>
            <w:pPr>
              <w:spacing w:before="0" w:after="0" w:beforeAutospacing="0" w:afterAutospacing="0"/>
              <w:ind w:left="0" w:right="0"/>
              <w:rPr>
                <w:rFonts w:ascii="Times New Roman" w:hAnsi="Times New Roman" w:cs="Times New Roman" w:eastAsia="Times New Roman"/>
                <w:sz w:val="24"/>
              </w:rPr>
            </w:pPr>
            <w:r>
              <w:drawing>
                <wp:inline xmlns:wp="http://schemas.openxmlformats.org/drawingml/2006/wordprocessingDrawing" distT="0" distB="0" distL="0" distR="0">
                  <wp:extent cx="28575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dpi="0">
                          <a:blip xmlns:r="http://schemas.openxmlformats.org/officeDocument/2006/relationships" r:embed="Relimage2"/>
                          <a:srcRect/>
                          <a:stretch>
                            <a:fillRect/>
                          </a:stretch>
                        </pic:blipFill>
                        <pic:spPr>
                          <a:xfrm>
                            <a:off x="0" y="0"/>
                            <a:ext cx="2857500" cy="952500"/>
                          </a:xfrm>
                          <a:prstGeom prst="rect"/>
                          <a:noFill/>
                        </pic:spPr>
                      </pic:pic>
                    </a:graphicData>
                  </a:graphic>
                </wp:inline>
              </w:drawing>
            </w:r>
          </w:p>
        </w:tc>
        <w:tc>
          <w:tcPr>
            <w:tcW w:w="0" w:type="auto"/>
            <w:noWrap/>
            <w:tcMar>
              <w:top w:w="0" w:type="dxa"/>
              <w:left w:w="108" w:type="dxa"/>
              <w:bottom w:w="0" w:type="dxa"/>
              <w:right w:w="108" w:type="dxa"/>
            </w:tcMar>
            <w:vAlign w:val="bottom"/>
            <w:hideMark/>
          </w:tcPr>
          <w:p>
            <w:pPr>
              <w:ind w:left="0" w:right="0"/>
              <w:rPr>
                <w:sz w:val="24"/>
              </w:rPr>
            </w:pPr>
          </w:p>
        </w:tc>
      </w:tr>
      <w:tr>
        <w:trPr>
          <w:trHeight w:hRule="atLeast" w:val="281"/>
        </w:trPr>
        <w:tc>
          <w:tcPr>
            <w:tcW w:w="2730" w:type="dxa"/>
            <w:tcMar>
              <w:top w:w="0" w:type="dxa"/>
              <w:left w:w="108" w:type="dxa"/>
              <w:bottom w:w="0" w:type="dxa"/>
              <w:right w:w="108" w:type="dxa"/>
            </w:tcMar>
            <w:vAlign w:val="center"/>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20"/>
                <w:szCs w:val="20"/>
              </w:rPr>
              <w:t>бухгалтер</w:t>
            </w:r>
          </w:p>
        </w:tc>
        <w:tc>
          <w:tcPr>
            <w:tcW w:w="4732" w:type="dxa"/>
            <w:tcMar>
              <w:top w:w="0" w:type="dxa"/>
              <w:left w:w="108" w:type="dxa"/>
              <w:bottom w:w="0" w:type="dxa"/>
              <w:right w:w="108" w:type="dxa"/>
            </w:tcMar>
            <w:vAlign w:val="center"/>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20"/>
                <w:szCs w:val="20"/>
              </w:rPr>
              <w:t>(подпись)</w:t>
            </w:r>
          </w:p>
        </w:tc>
        <w:tc>
          <w:tcPr>
            <w:tcW w:w="0" w:type="auto"/>
            <w:tcMar>
              <w:top w:w="0" w:type="dxa"/>
              <w:left w:w="108" w:type="dxa"/>
              <w:bottom w:w="0" w:type="dxa"/>
              <w:right w:w="108" w:type="dxa"/>
            </w:tcMar>
            <w:vAlign w:val="center"/>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20"/>
                <w:szCs w:val="20"/>
              </w:rPr>
              <w:t>(расшифровка подписи)</w:t>
            </w:r>
          </w:p>
        </w:tc>
      </w:tr>
    </w:tbl>
    <w:p>
      <w:pPr>
        <w:spacing w:before="0" w:after="0" w:beforeAutospacing="0" w:afterAutospacing="0"/>
        <w:ind w:firstLine="0" w:left="0" w:right="0"/>
        <w:outlineLvl w:val="9"/>
        <w:rPr>
          <w:rFonts w:ascii="Times New Roman" w:hAnsi="Times New Roman" w:cs="Times New Roman" w:eastAsia="Times New Roman"/>
          <w:sz w:val="24"/>
        </w:rPr>
      </w:pPr>
      <w:r>
        <w:rPr>
          <w:rFonts w:ascii="Times New Roman" w:hAnsi="Times New Roman" w:cs="Times New Roman" w:eastAsia="Times New Roman"/>
          <w:sz w:val="20"/>
          <w:szCs w:val="20"/>
        </w:rPr>
        <w:t> </w:t>
      </w:r>
    </w:p>
    <w:p>
      <w:pPr>
        <w:spacing w:before="0" w:after="0" w:beforeAutospacing="0" w:afterAutospacing="0"/>
        <w:ind w:firstLine="0" w:left="0" w:right="0"/>
        <w:outlineLvl w:val="9"/>
        <w:rPr>
          <w:rFonts w:ascii="Times New Roman" w:hAnsi="Times New Roman" w:cs="Times New Roman" w:eastAsia="Times New Roman"/>
          <w:sz w:val="24"/>
        </w:rPr>
      </w:pPr>
      <w:r>
        <w:rPr>
          <w:rFonts w:ascii="Times New Roman" w:hAnsi="Times New Roman" w:cs="Times New Roman" w:eastAsia="Times New Roman"/>
          <w:sz w:val="20"/>
          <w:szCs w:val="20"/>
        </w:rPr>
        <w:t>"____"   ____________ 20____г.</w:t>
      </w:r>
    </w:p>
    <w:p>
      <w:r>
        <w:rPr>
          <w:rFonts w:ascii="Times New Roman" w:hAnsi="Times New Roman" w:cs="Times New Roman" w:eastAsia="Times New Roman"/>
          <w:sz w:val="24"/>
          <w:szCs w:val="24"/>
        </w:rPr>
        <w:t xml:space="preserve">Документ подписан электронной подписью. </w:t>
        <w:br w:type="textWrapping"/>
        <w:t xml:space="preserve">Главный бухгалтер(Зотова Инна Евгеньевна, Сертификат: 00AEE6E05B0DC4F1CFCD5477473D657E6E, Действителен: с 22.05.2023 по 14.08.2024),Руководитель(Панюхин Михаил Анатольевич, Сертификат: 391C1EE2EB6E37998530B4DBAA363FBE, Действителен: с 17.05.2023 по 09.08.2024)        </w:t>
      </w:r>
    </w:p>
    <w:sectPr>
      <w:type w:val="nextPage"/>
      <w:pgSz w:w="15840" w:h="12240" w:orient="landscape"/>
      <w:pgMar w:left="1700" w:right="850" w:top="1133" w:bottom="1133" w:header="708" w:footer="708" w:gutter="0"/>
    </w:sectPr>
  </w:body>
</w:document>
</file>

<file path=word/numbering.xml><?xml version="1.0" encoding="utf-8"?>
<w:numbering xmlns:w="http://schemas.openxmlformats.org/wordprocessingml/2006/main">
  <w:abstractNum w:abstractNumId="0">
    <w:nsid w:val="77911FCA"/>
    <w:multiLevelType w:val="hybridMultilevel"/>
    <w:lvl w:ilvl="0" w:tplc="526AABEC">
      <w:start w:val="1"/>
      <w:numFmt w:val="bullet"/>
      <w:suff w:val="tab"/>
      <w:lvlText w:val="·"/>
      <w:lvlJc w:val="left"/>
      <w:pPr>
        <w:ind w:hanging="360" w:left="720"/>
      </w:pPr>
      <w:rPr>
        <w:rFonts w:ascii="Symbol" w:hAnsi="Symbol" w:cs="Symbol" w:eastAsia="Symbol"/>
      </w:rPr>
    </w:lvl>
    <w:lvl w:ilvl="1" w:tplc="0BE93636">
      <w:start w:val="1"/>
      <w:numFmt w:val="bullet"/>
      <w:suff w:val="tab"/>
      <w:lvlText w:val="o"/>
      <w:lvlJc w:val="left"/>
      <w:pPr>
        <w:ind w:hanging="360" w:left="1440"/>
      </w:pPr>
      <w:rPr>
        <w:rFonts w:ascii="Symbol" w:hAnsi="Symbol"/>
      </w:rPr>
    </w:lvl>
    <w:lvl w:ilvl="2" w:tplc="3E7D9C16">
      <w:start w:val="1"/>
      <w:numFmt w:val="bullet"/>
      <w:suff w:val="tab"/>
      <w:lvlText w:val="·"/>
      <w:lvlJc w:val="left"/>
      <w:pPr>
        <w:ind w:hanging="360" w:left="2160"/>
      </w:pPr>
      <w:rPr>
        <w:rFonts w:ascii="Symbol" w:hAnsi="Symbol"/>
      </w:rPr>
    </w:lvl>
    <w:lvl w:ilvl="3" w:tplc="230D7A5C">
      <w:start w:val="1"/>
      <w:numFmt w:val="bullet"/>
      <w:suff w:val="tab"/>
      <w:lvlText w:val="o"/>
      <w:lvlJc w:val="left"/>
      <w:pPr>
        <w:ind w:hanging="360" w:left="2880"/>
      </w:pPr>
      <w:rPr>
        <w:rFonts w:ascii="Symbol" w:hAnsi="Symbol"/>
      </w:rPr>
    </w:lvl>
    <w:lvl w:ilvl="4" w:tplc="684A6C62">
      <w:start w:val="1"/>
      <w:numFmt w:val="bullet"/>
      <w:suff w:val="tab"/>
      <w:lvlText w:val="·"/>
      <w:lvlJc w:val="left"/>
      <w:pPr>
        <w:ind w:hanging="360" w:left="3600"/>
      </w:pPr>
      <w:rPr>
        <w:rFonts w:ascii="Symbol" w:hAnsi="Symbol"/>
      </w:rPr>
    </w:lvl>
    <w:lvl w:ilvl="5" w:tplc="45A36709">
      <w:start w:val="1"/>
      <w:numFmt w:val="bullet"/>
      <w:suff w:val="tab"/>
      <w:lvlText w:val="o"/>
      <w:lvlJc w:val="left"/>
      <w:pPr>
        <w:ind w:hanging="360" w:left="4320"/>
      </w:pPr>
      <w:rPr>
        <w:rFonts w:ascii="Symbol" w:hAnsi="Symbol"/>
      </w:rPr>
    </w:lvl>
    <w:lvl w:ilvl="6" w:tplc="3D240A74">
      <w:start w:val="1"/>
      <w:numFmt w:val="bullet"/>
      <w:suff w:val="tab"/>
      <w:lvlText w:val="·"/>
      <w:lvlJc w:val="left"/>
      <w:pPr>
        <w:ind w:hanging="360" w:left="5040"/>
      </w:pPr>
      <w:rPr>
        <w:rFonts w:ascii="Symbol" w:hAnsi="Symbol"/>
      </w:rPr>
    </w:lvl>
    <w:lvl w:ilvl="7" w:tplc="4421D47C">
      <w:start w:val="1"/>
      <w:numFmt w:val="bullet"/>
      <w:suff w:val="tab"/>
      <w:lvlText w:val="o"/>
      <w:lvlJc w:val="left"/>
      <w:pPr>
        <w:ind w:hanging="360" w:left="5760"/>
      </w:pPr>
      <w:rPr>
        <w:rFonts w:ascii="Symbol" w:hAnsi="Symbol"/>
      </w:rPr>
    </w:lvl>
    <w:lvl w:ilvl="8" w:tplc="6B6FDD5B">
      <w:start w:val="1"/>
      <w:numFmt w:val="bullet"/>
      <w:suff w:val="tab"/>
      <w:lvlText w:val="·"/>
      <w:lvlJc w:val="left"/>
      <w:pPr>
        <w:ind w:hanging="360" w:left="6480"/>
      </w:pPr>
      <w:rPr>
        <w:rFonts w:ascii="Symbol" w:hAnsi="Symbol"/>
      </w:rPr>
    </w:lvl>
  </w:abstractNum>
  <w:abstractNum w:abstractNumId="1">
    <w:nsid w:val="3CA03103"/>
    <w:multiLevelType w:val="hybridMultilevel"/>
    <w:lvl w:ilvl="0" w:tplc="5E59CACF">
      <w:start w:val="1"/>
      <w:numFmt w:val="bullet"/>
      <w:suff w:val="tab"/>
      <w:lvlText w:val="·"/>
      <w:lvlJc w:val="left"/>
      <w:pPr>
        <w:ind w:hanging="360" w:left="720"/>
      </w:pPr>
      <w:rPr>
        <w:rFonts w:ascii="Symbol" w:hAnsi="Symbol" w:cs="Symbol" w:eastAsia="Symbol"/>
      </w:rPr>
    </w:lvl>
    <w:lvl w:ilvl="1" w:tplc="5A9B7FE4">
      <w:start w:val="1"/>
      <w:numFmt w:val="bullet"/>
      <w:suff w:val="tab"/>
      <w:lvlText w:val="o"/>
      <w:lvlJc w:val="left"/>
      <w:pPr>
        <w:ind w:hanging="360" w:left="1440"/>
      </w:pPr>
      <w:rPr>
        <w:rFonts w:ascii="Symbol" w:hAnsi="Symbol"/>
      </w:rPr>
    </w:lvl>
    <w:lvl w:ilvl="2" w:tplc="654ED1C4">
      <w:start w:val="1"/>
      <w:numFmt w:val="bullet"/>
      <w:suff w:val="tab"/>
      <w:lvlText w:val="·"/>
      <w:lvlJc w:val="left"/>
      <w:pPr>
        <w:ind w:hanging="360" w:left="2160"/>
      </w:pPr>
      <w:rPr>
        <w:rFonts w:ascii="Symbol" w:hAnsi="Symbol"/>
      </w:rPr>
    </w:lvl>
    <w:lvl w:ilvl="3" w:tplc="19FD4526">
      <w:start w:val="1"/>
      <w:numFmt w:val="bullet"/>
      <w:suff w:val="tab"/>
      <w:lvlText w:val="o"/>
      <w:lvlJc w:val="left"/>
      <w:pPr>
        <w:ind w:hanging="360" w:left="2880"/>
      </w:pPr>
      <w:rPr>
        <w:rFonts w:ascii="Symbol" w:hAnsi="Symbol"/>
      </w:rPr>
    </w:lvl>
    <w:lvl w:ilvl="4" w:tplc="3C14171C">
      <w:start w:val="1"/>
      <w:numFmt w:val="bullet"/>
      <w:suff w:val="tab"/>
      <w:lvlText w:val="·"/>
      <w:lvlJc w:val="left"/>
      <w:pPr>
        <w:ind w:hanging="360" w:left="3600"/>
      </w:pPr>
      <w:rPr>
        <w:rFonts w:ascii="Symbol" w:hAnsi="Symbol"/>
      </w:rPr>
    </w:lvl>
    <w:lvl w:ilvl="5" w:tplc="2C15DB1B">
      <w:start w:val="1"/>
      <w:numFmt w:val="bullet"/>
      <w:suff w:val="tab"/>
      <w:lvlText w:val="o"/>
      <w:lvlJc w:val="left"/>
      <w:pPr>
        <w:ind w:hanging="360" w:left="4320"/>
      </w:pPr>
      <w:rPr>
        <w:rFonts w:ascii="Symbol" w:hAnsi="Symbol"/>
      </w:rPr>
    </w:lvl>
    <w:lvl w:ilvl="6" w:tplc="74807BA4">
      <w:start w:val="1"/>
      <w:numFmt w:val="bullet"/>
      <w:suff w:val="tab"/>
      <w:lvlText w:val="·"/>
      <w:lvlJc w:val="left"/>
      <w:pPr>
        <w:ind w:hanging="360" w:left="5040"/>
      </w:pPr>
      <w:rPr>
        <w:rFonts w:ascii="Symbol" w:hAnsi="Symbol"/>
      </w:rPr>
    </w:lvl>
    <w:lvl w:ilvl="7" w:tplc="757582E2">
      <w:start w:val="1"/>
      <w:numFmt w:val="bullet"/>
      <w:suff w:val="tab"/>
      <w:lvlText w:val="o"/>
      <w:lvlJc w:val="left"/>
      <w:pPr>
        <w:ind w:hanging="360" w:left="5760"/>
      </w:pPr>
      <w:rPr>
        <w:rFonts w:ascii="Symbol" w:hAnsi="Symbol"/>
      </w:rPr>
    </w:lvl>
    <w:lvl w:ilvl="8" w:tplc="514FA83A">
      <w:start w:val="1"/>
      <w:numFmt w:val="bullet"/>
      <w:suff w:val="tab"/>
      <w:lvlText w:val="·"/>
      <w:lvlJc w:val="left"/>
      <w:pPr>
        <w:ind w:hanging="360" w:left="6480"/>
      </w:pPr>
      <w:rPr>
        <w:rFonts w:ascii="Symbol" w:hAnsi="Symbol"/>
      </w:rPr>
    </w:lvl>
  </w:abstractNum>
  <w:num w:numId="1">
    <w:abstractNumId w:val="0"/>
  </w:num>
  <w:num w:numId="2">
    <w:abstractNumId w:val="1"/>
  </w:num>
</w:numbering>
</file>

<file path=word/settings.xml><?xml version="1.0" encoding="utf-8"?>
<w:settings xmlns:w="http://schemas.openxmlformats.org/wordprocessingml/2006/main">
  <w:displayBackgroundShape w:val="0"/>
  <w:defaultTabStop w:val="720"/>
  <w:autoHyphenation w:val="0"/>
  <w:evenAndOddHeaders w:val="0"/>
  <w:compat>
    <w:compatSetting w:name="compatibilityMode" w:uri="http://schemas.microsoft.com/office/word" w:val="12"/>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w:docDefaults>
    <w:rPrDefault>
      <w:rPr>
        <w:rFonts w:asciiTheme="minorHAnsi" w:hAnsiTheme="minorHAnsi" w:cstheme="minorBidi" w:eastAsiaTheme="minorEastAsia"/>
        <w:sz w:val="22"/>
        <w:szCs w:val="22"/>
      </w:rPr>
    </w:rPrDefault>
    <w:pPrDefault>
      <w:pPr>
        <w:keepNext w:val="0"/>
        <w:keepLines w:val="0"/>
        <w:pageBreakBefore w:val="0"/>
        <w:widowControl w:val="1"/>
        <w:suppressLineNumbers w:val="0"/>
        <w:shd w:val="clear" w:fill="auto"/>
        <w:suppressAutoHyphens w:val="0"/>
        <w:spacing w:lineRule="auto" w:line="240" w:before="0" w:after="0" w:beforeAutospacing="0" w:afterAutospacing="0"/>
        <w:ind w:firstLine="0" w:left="0" w:right="0"/>
        <w:contextualSpacing w:val="0"/>
        <w:bidi w:val="0"/>
        <w:jc w:val="left"/>
        <w:outlineLvl w:val="9"/>
      </w:pPr>
    </w:pPrDefault>
  </w:docDefaults>
  <w:style w:type="paragraph" w:styleId="P0" w:default="1">
    <w:name w:val="Normal"/>
    <w:pPr/>
    <w:rPr/>
  </w:style>
  <w:style w:type="character" w:styleId="C0" w:default="1">
    <w:name w:val="Default Paragraph Font"/>
    <w:semiHidden/>
    <w:rPr/>
  </w:style>
  <w:style w:type="character" w:styleId="C1">
    <w:name w:val="Line Number"/>
    <w:basedOn w:val="C0"/>
    <w:semiHidden/>
    <w:rPr/>
  </w:style>
  <w:style w:type="character" w:styleId="C2">
    <w:name w:val="Hyperlink"/>
    <w:rPr>
      <w:color w:val="0000FF"/>
      <w:u w:val="single"/>
    </w:rPr>
  </w:style>
  <w:style w:type="table" w:styleId="T0" w:default="1">
    <w:name w:val="Normal Table"/>
    <w:tblPr>
      <w:tblCellMar>
        <w:top w:w="0" w:type="dxa"/>
        <w:left w:w="108" w:type="dxa"/>
        <w:bottom w:w="0" w:type="dxa"/>
        <w:right w:w="108" w:type="dxa"/>
      </w:tblCellMar>
    </w:tblPr>
    <w:trPr/>
    <w:tcPr/>
  </w:style>
  <w:style w:type="table" w:styleId="T1">
    <w:name w:val="Table Simple 1"/>
    <w:basedOn w:val="T0"/>
    <w:tblPr>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trPr/>
    <w:tcPr/>
  </w:style>
</w:styles>
</file>

<file path=word/_rels/document.xml.rels>&#65279;<?xml version="1.0" encoding="utf-8"?><Relationships xmlns="http://schemas.openxmlformats.org/package/2006/relationships"><Relationship Id="Relimage1" Type="http://schemas.openxmlformats.org/officeDocument/2006/relationships/image" Target="/media/image1.png" /><Relationship Id="Relimage2" Type="http://schemas.openxmlformats.org/officeDocument/2006/relationships/image" Target="/media/image2.png" /><Relationship Id="R2" Type="http://schemas.openxmlformats.org/officeDocument/2006/relationships/hyperlink" Target="http://internet.garant.ru/document/redirect/12184447/3773" TargetMode="External" /><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 Id="RelTheme1"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7EAADF"/>
      </a:accent1>
      <a:accent2>
        <a:srgbClr val="EA726F"/>
      </a:accent2>
      <a:accent3>
        <a:srgbClr val="A9D774"/>
      </a:accent3>
      <a:accent4>
        <a:srgbClr val="A78BC9"/>
      </a:accent4>
      <a:accent5>
        <a:srgbClr val="78CBE1"/>
      </a:accent5>
      <a:accent6>
        <a:srgbClr val="FCBF8C"/>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theme>
</file>

<file path=docProps/app.xml><?xml version="1.0" encoding="utf-8"?>
<Properties xmlns="http://schemas.openxmlformats.org/officeDocument/2006/extended-properties">
  <Application>DevExpress Office File API/21.2.5.0</Application>
  <AppVersion>21.2</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Пользователь</dc:creator>
  <dcterms:created xsi:type="dcterms:W3CDTF">2025-03-18T13:04:17Z</dcterms:created>
  <cp:lastModifiedBy>Пользователь</cp:lastModifiedBy>
  <dcterms:modified xsi:type="dcterms:W3CDTF">2025-03-18T13:04:17Z</dcterms:modified>
  <cp:revision>2</cp:revision>
</cp:coreProperties>
</file>